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ATAS/949/2013 vom 25. September 2013</w:t>
      </w:r>
    </w:p>
    <w:p>
      <w:r>
        <w:t>GE Cour de justice, 2013-09-25, FR</w:t>
      </w:r>
    </w:p>
    <w:p>
      <w:r>
        <w:rPr>
          <w:b/>
        </w:rPr>
        <w:t xml:space="preserve">Quelle: </w:t>
      </w:r>
      <w:r>
        <w:t>https://mcp.opencaselaw.ch/entscheid/ge_gerichte_ATAS_949_2013</w:t>
      </w:r>
    </w:p>
    <w:p>
      <w:r>
        <w:t>FR: GE_GERICHTE ATAS/949/2013 du 25 septembre 2013</w:t>
      </w:r>
    </w:p>
    <w:p>
      <w:r>
        <w:t>IT: GE_GERICHTE ATAS/949/2013 del 25 settembre 2013</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la forme et le délai prévus par la loi, le recours est recevable (art. 56ss LPGA).</w:t>
      </w:r>
    </w:p>
    <w:p>
      <w:r>
        <w:rPr>
          <w:b/>
        </w:rPr>
        <w:t>E. 3</w:t>
      </w:r>
    </w:p>
    <w:p>
      <w:r>
        <w:t>Le litige porte sur le droit du recourant à des mesures d'ordre professionnel et à une rente d'invalidité.</w:t>
      </w:r>
    </w:p>
    <w:p>
      <w:r>
        <w:rPr>
          <w:b/>
        </w:rPr>
        <w:t>E. 4</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Le seuil minimum fixé par la jurisprudence pour ouvrir droit à une mesure de reclassement est une diminution de la capacité de gain de 20 % environ (ATF 124 V 110 consid. 2b et les références).</w:t>
      </w:r>
    </w:p>
    <w:p>
      <w:r>
        <w:t>A/1521/2013 - 7/14 - Selon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(ATFA non publié 9C_534/2010 du 10 février 2011, consid. 3.2 et les références citées).</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w:t>
      </w:r>
    </w:p>
    <w:p>
      <w:r>
        <w:t>A/1521/2013 - 8/14 -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w:t>
      </w:r>
    </w:p>
    <w:p>
      <w:r>
        <w:rPr>
          <w:b/>
        </w:rPr>
        <w:t>E. 8</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w:t>
      </w:r>
    </w:p>
    <w:p>
      <w:r>
        <w:t>A/1521/2013 - 9/14 -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(ATFA non publié I 168/05 du 24 avril 2006, consid. 3.3; ATFA non publié B 80/01 du 17 octobre 2003, consid. 5.2.2).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L'étendue de l'abattement justifié dans un cas concret relève du pouvoir d'appréciation de l'autorité (ATF 132 V 393 consid. 3.3). Le juge ne peut, sans motif pertinent, substituer son appréciation à celle de l'administration (ATF 126 V 75 consid. 6).</w:t>
      </w:r>
    </w:p>
    <w:p>
      <w:r>
        <w:rPr>
          <w:b/>
        </w:rPr>
        <w:t>E. 9</w:t>
      </w:r>
    </w:p>
    <w:p>
      <w:r>
        <w:t>En l’espèce, tous les médecins traitants qui se sont prononcés sur la capacité résiduelle de travail du recourant s’accordent à reconnaître qu’elle est complète dans une activité adaptée. S’agissant du rapport du Dr B__________ du 24 janvier 2012, on notera en préambule que la mention d’une capacité de travail complète en tant que cuisinier et nulle dans un travail de bureau ne peut être considérée autrement que comme une erreur de plume, et que les indications de ce médecin</w:t>
      </w:r>
    </w:p>
    <w:p>
      <w:r>
        <w:t>A/1521/2013 - 10/14 - doivent être comprises en ce sens que la capacité dans l’activité habituelle était nulle, alors qu’une activité sédentaire pouvait être exercée à temps complet. Le Dr E__________ confirme également qu’un emploi sans activités physiques importantes était possible. Quant au Dr D__________, il ne s’est pas formellement déterminé sur la capacité de travail résiduelle mais ne semble pas l’exclure puisqu’il évoque une réorientation professionnelle. Enfin, les rapports d’examens du radiologue n’apportent aucun éclairage sur la capacité de gain du recourant. Compte tenu du consensus entre les médecins sur la capacité de gain dans une activité adaptée, il n’est pas nécessaire de faire procéder à des examens supplémentaires sur ce point. Le recourant relève certes des erreurs dans les rapports établis à son sujet. En plus de l’erreur de plume déjà relevée ci-dessus, le Dr B__________ a en effet mentionné que le recourant était cuisinier avant son accident, alors qu'il était en réalité plongeur dans un restaurant. Ce sont cependant là des activités très largement comparables du point de vue des sollicitations physiques. Quoi qu’il en soit, il s’agit d’une méprise sur un point secondaire du rapport, de sorte qu’elle ne suffit pas à ôter toute valeur probante aux conclusions du Dr B__________. Quant au Dr D__________, s’il s’est trompé en indiquant que le recourant était actif dans le bâtiment, cela n’a pas d’incidence concrète dès lors que ce médecin ne se prononce pas expressément sur la capacité de travail résiduelle. Eu égard à ce qui précède, il n’y a pas lieu de s’écarter des conclusions des Drs E__________ et B__________, aux termes desquelles le recourant dispose d’une capacité de travail entière dans une activité adaptée. Il s’avère ainsi superflu d’ordonner une expertise, par appréciation anticipée des preuves. On soulignera à cet égard que ce n’est que lorsqu’il n’est pas possible de prendre une décision uniquement sur la base des renseignements de l’assuré ou de tiers que la mise en œuvre d’autres moyens de preuve s’impose (Stéphane BLANC, La procédure administrative en assurance-invalidité, thèse Fribourg 1999, p. 124). Tel n'est pas le cas en l'espèce, les rapports médicaux permettant de statuer sur le degré d'invalidité du recourant.</w:t>
      </w:r>
    </w:p>
    <w:p>
      <w:r>
        <w:rPr>
          <w:b/>
        </w:rPr>
        <w:t>E. 10</w:t>
      </w:r>
    </w:p>
    <w:p>
      <w:r>
        <w:t>S’agissant du degré d’invalidité, le calcul de l’intimé est conforme aux principes dégagés par la jurisprudence et ne prête donc pas flanc à la critique. Tout au plus pourrait-on admettre un abattement de 10 % sur le revenu d’invalide en raison des limitations fonctionnelles, ce qui le réduirait à 55'595 fr. 70. Toutefois, même en tenant compte d’une telle réduction, le degré d’invalidité serait nul, le salaire sans invalidité, de 55'665 fr. en 2011, étant inférieur à ce montant. Certes, on pourrait se poser la question de savoir s'il n'y a pas lieu de prendre en compte, à titre de salaire sans invalidité, celui de 2009 de 58'931 fr. 05. Toutefois, cette question peut rester ouverte, dans la mesure où cela n'ouvrirait pas non plus le droit à une rente, le degré d'invalidité restant inférieur à 40%.</w:t>
      </w:r>
    </w:p>
    <w:p>
      <w:r>
        <w:t>A/1521/2013 - 11/14 -</w:t>
      </w:r>
    </w:p>
    <w:p>
      <w:r>
        <w:rPr>
          <w:b/>
        </w:rPr>
        <w:t>E. 11</w:t>
      </w:r>
    </w:p>
    <w:p>
      <w:r>
        <w:t>Reste à examiner si le recourant peut prétendre à une mesure d'ordre professionnel. a)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w:t>
      </w:r>
    </w:p>
    <w:p>
      <w:r>
        <w:t>A/1521/2013 - 12/14 -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Point n'est en principe besoin de présenter une perte de gain pour bénéficier d'une telle mesure (Arrêt du Tribunal fédéral 9C_385/2009 du 13 octobre 2009).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voir également ATFA non publié I 154/76 du 22 novembre 1976 consid. 2, in RCC 1977 p. 203). L'octroi d'une orientation professionnelle suppose que l'assuré soit entravé, même de manière faible, dans sa recherche d'un emploi adéquat à la suite de problèmes de santé (ATFA non publié I 11/99 du 15 octobre 1999 consid. 6). Sont exclus les handicaps insignifiants qui n'ont pas pour effet de provoquer un empêchement sérieux et qui, par conséquent, ne justifient pas l'intervention de l'assurance-invalidité (ATF 114 V 29 consid. 1a p. 29). b) En l'espèce, une mesure de reclassement dans une autre profession n'est pas indiquée, le recourant n'ayant aucune formation professionnelle. Toutefois, il sied de constater que son handicap l'empêche de poursuivre l'emploi qu'il exerçait jusque-là et réduit le champ des activités possibles, le recourant devant envisager une activité assise et sans lourdes charges. Une mesure d'orientation s'avère dès lors nécessaire pour lui permettre de déterminer dans quels postes il est susceptible de se réinsérer professionnellement avec succès. Rien ne permet par ailleurs de supposer qu'une telle mesure serait vouée à l'échec d'avance, en raison d'un défaut de motivation. En effet, le recourant a uniquement allégué être incapable de travailler dans les activités impliquant un effort physique sur les jambes et ne nie pas disposer d'une capacité de travail dans une activité adaptée, ce qui l'a du reste motivé à demander des mesures de réadaptation professionnelle. Enfin, pour bénéficier d'une orientation professionnelle, il n'est pas nécessaire de présenter une perte de gain, selon la jurisprudence précitée.</w:t>
      </w:r>
    </w:p>
    <w:p>
      <w:r>
        <w:rPr>
          <w:b/>
        </w:rPr>
        <w:t>E. 12</w:t>
      </w:r>
    </w:p>
    <w:p>
      <w:r>
        <w:t>Eu égard à ce qui précède, le recours sera partiellement admis, la décision querellée réformée dans le sens que le recourant à droit à une mesure d'orientation professionnelle.</w:t>
      </w:r>
    </w:p>
    <w:p>
      <w:r>
        <w:rPr>
          <w:b/>
        </w:rPr>
        <w:t>E. 13</w:t>
      </w:r>
    </w:p>
    <w:p>
      <w:r>
        <w:t>Le recourant obtenant partiellement gain de cause, il y a lieu de lui octroyer une indemnité de 1'000 fr. à titre de dépens (art. 61 let. g LPGA).</w:t>
      </w:r>
    </w:p>
    <w:p>
      <w:r>
        <w:t>A/1521/2013 - 13/14 -</w:t>
      </w:r>
    </w:p>
    <w:p>
      <w:r>
        <w:rPr>
          <w:b/>
        </w:rPr>
        <w:t>E. 14</w:t>
      </w:r>
    </w:p>
    <w:p>
      <w:r>
        <w:t>La procédure n'étant pas gratuite en matière d’assurance-invalidité, l'intimé supportera l’émolument de 200 fr. (art. 69 al. 1bis LAI).</w:t>
      </w:r>
    </w:p>
    <w:p>
      <w:r>
        <w:t>A/1521/2013 - 14/14 -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