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ATAS/949/2012 vom 6. August 2012</w:t>
      </w:r>
    </w:p>
    <w:p>
      <w:r>
        <w:t>GE Cour de justice, 2012-08-06, FR</w:t>
      </w:r>
    </w:p>
    <w:p>
      <w:r>
        <w:rPr>
          <w:b/>
        </w:rPr>
        <w:t xml:space="preserve">Quelle: </w:t>
      </w:r>
      <w:r>
        <w:t>https://mcp.opencaselaw.ch/entscheid/ge_gerichte_ATAS_949_2012</w:t>
      </w:r>
    </w:p>
    <w:p>
      <w:r>
        <w:t>FR: GE_GERICHTE ATAS/949/2012 du 6 août 2012</w:t>
      </w:r>
    </w:p>
    <w:p>
      <w:r>
        <w:t>IT: GE_GERICHTE ATAS/949/2012 del 6 agosto 2012</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w:t>
      </w:r>
    </w:p>
    <w:p>
      <w:r>
        <w:t>Sa compétence pour juger du cas d’espèce est ainsi établie.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paiements en espèce effectués durant le mariage ne sont pas pris en compte (art. 22 al. 2 LFLP).</w:t>
      </w:r>
    </w:p>
    <w:p>
      <w:r>
        <w:rPr>
          <w:b/>
        </w:rPr>
        <w:t>E. 3</w:t>
      </w:r>
    </w:p>
    <w:p>
      <w:r>
        <w:t>En l’espèce, le juge de première instance a ordonné le partage par moitié des avoirs de prévoyance des demandeurs. Les dates pertinentes sont, d’une part, celle du mariage, le 3 décembre 2007, d’autre part le 16 mai 2012, date à laquelle le jugement de divorce est devenu exécutoire. Selon les documents produits, la prestation acquise pendant le mariage par M. G___________ est 88'706 fr. 55 auprès de la FONDATION DE LIBRE PASSAGE DE LA BCGE (soit 165'709 fr. 45 - 77'002 fr. 90), les intérêts ayant déjà été calculés par les institutions de prévoyance défenderesses.. Mme G___________ n'a jamais cotisé en Suisse à la prévoyance professionnelle. Ainsi M. G___________ doit à son ex-épouse le montant de fr. 44'353 fr. 30 (88'706 fr. 55 : 2).</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w:t>
      </w:r>
    </w:p>
    <w:p>
      <w:r>
        <w:t>A/1656/2012 - 4/5 -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A/1656/2012 - 5/5 -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