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ATAS/949/2009 vom 24. Juli 2009</w:t>
      </w:r>
    </w:p>
    <w:p>
      <w:r>
        <w:t>GE Cour de justice, 2009-07-24, FR</w:t>
      </w:r>
    </w:p>
    <w:p>
      <w:r>
        <w:rPr>
          <w:b/>
        </w:rPr>
        <w:t xml:space="preserve">Quelle: </w:t>
      </w:r>
      <w:r>
        <w:t>https://mcp.opencaselaw.ch/entscheid/ge_gerichte_ATAS_949_2009</w:t>
      </w:r>
    </w:p>
    <w:p>
      <w:r>
        <w:t>FR: GE_GERICHTE ATAS/949/2009 du 24 juillet 2009</w:t>
      </w:r>
    </w:p>
    <w:p>
      <w:r>
        <w:t>IT: GE_GERICHTE ATAS/949/2009 del 24 luglio 2009</w:t>
      </w:r>
    </w:p>
    <w:p>
      <w:pPr>
        <w:pStyle w:val="Heading2"/>
      </w:pPr>
      <w:r>
        <w:t>Erwägungen</w:t>
      </w:r>
    </w:p>
    <w:p>
      <w:r>
        <w:rPr>
          <w:b/>
        </w:rPr>
        <w:t>E. 1</w:t>
      </w:r>
    </w:p>
    <w:p>
      <w:r>
        <w:t>Le litige porte sur la prise en charge par l'intimée d'un traitement de Pethidine dispensé par la recourante à l'appelé en cause de mars 2005 à mai 2006 pour un montant de 196'298 fr. 65.</w:t>
      </w:r>
    </w:p>
    <w:p>
      <w:r>
        <w:rPr>
          <w:b/>
        </w:rPr>
        <w:t>E. 2</w:t>
      </w:r>
    </w:p>
    <w:p>
      <w:r>
        <w:t>Selon l'art. 25 LAMal, l'assurance obligatoire de soins prend en charge les coûts des prestations qui servent à diagnostiquer ou à traiter une maladie et ses séquelles (al. 1). Ces prestations comprennent notamment les médicaments prescrits par un médecin (al. 2 let. b). Conformément à l'art. 34 al. 1 LAMal, les assureurs ne peuvent pas prendre en charge, au titre de l'assurance obligatoire des soins, d'autres coûts que ceux des prestations prévues aux art. 25 à 33. Les prestations mentionnées à l'art. 25 LAMal doivent être efficaces, appropriées et économiques. L'efficacité doit être démontrée selon des méthodes scientifiques (art. 32 al. 1 LAMal). Une prestation est efficace lorsqu'on peut objectivement en attendre le résultat thérapeutique visé par le traitement de la maladie, à savoir la suppression la plus complète possible de l'atteinte à la santé somatique ou psychique (ATF 128 V 165 consid. 5c/aa; RAMA 2000 n° KV 132 p. 281 consid. 2b).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 lorsque l'indication médicale est clairement établie, le caractère approprié de la prestation l'est également (ATF 125 V 99 consid. 4a;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146 consid. 5; RAMA 2004 n° KV 272 p. 111 consid. 3.1.2).</w:t>
      </w:r>
    </w:p>
    <w:p>
      <w:r>
        <w:rPr>
          <w:b/>
        </w:rPr>
        <w:t>E. 3</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w:t>
      </w:r>
    </w:p>
    <w:p>
      <w:r>
        <w:t>A/3411/2006 - 9/13 - on peut encore, raisonnablement, exiger de l'assuré (ATF 125 V 261, consid. 4, et la jurisprudence citée).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 celles- ci. Le juge doit examiner de manière objective tous les documents à disposition, quelle qu'en soit la provenance, puis décider si ceux-ci permettent de porter un jugement valable sur le droit litigieux (ATFA non publié du 21 mars 2006, I 247/05, consid. 1.2).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Il convient également de rappeler que, pour ce qui concerne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t>A/3411/2006 - 10/13 -</w:t>
      </w:r>
    </w:p>
    <w:p>
      <w:r>
        <w:rPr>
          <w:b/>
        </w:rPr>
        <w:t>E. 4</w:t>
      </w:r>
    </w:p>
    <w:p>
      <w:r>
        <w:t>En l'espèce, l'intimée a refusé de rembourser les factures de la recourante, au motif principalement que les conditions de l'art. 32 LAMal n'avaient pas été respectées. La recourante soulève quant à elle la question des limites d'application de cette disposition légale.</w:t>
      </w:r>
    </w:p>
    <w:p>
      <w:r>
        <w:rPr>
          <w:b/>
        </w:rPr>
        <w:t>E. 5</w:t>
      </w:r>
    </w:p>
    <w:p>
      <w:r>
        <w:t>Il s'agit dès lors de déterminer si les soins prodigués par la recourante à l'appelé en cause respectent les conditions de l'art. 32 LAMal, à savoir s'ils sont efficaces, appropriés et économiques.</w:t>
      </w:r>
    </w:p>
    <w:p>
      <w:r>
        <w:rPr>
          <w:b/>
        </w:rPr>
        <w:t>E. 6</w:t>
      </w:r>
    </w:p>
    <w:p>
      <w:r>
        <w:t>Dans son rapport d'expertise établi le 23 avril 2008, Dr G_________ a indiqué que ces soins n'étaient efficaces que pour une durée limitée de quelques heures, qu'ils n'étaient pas adéquats dans la mesure où seule une structure adaptée en addictologie pourrait faire face à la complexité de ce cas, et qu'ils n'étaient pas économiques dans la mesure où les interventions en urgence sont trop coûteuses. Force est de constater que ces conclusions ne sont pas motivées. S'agissant en particulier du caractère adéquat, elles n'ont même aucun sens puisque l'expert explique que seuls des médecins exerçant dans le cadre d'une structure adaptée en addictologie pourraient prodiguer à l'appelé en cause les soins adéquats mais qu'en l'espèce, une telle intervention est impossible du fait que pour être mis en œuvre le patient doit donner son consentement. Il y a par ailleurs lieu de rappeler que le Dr G_________ n'a pas pu voir l'appelé en cause. Celui-ci l'a en effet informé lors d'un bref contact téléphonique début mars 2008 qu'il ne viendrait pas à la consultation en raison précisément des troubles dont il souffre. Le fait de n'avoir pas pu examiner l'appelé en cause fait que l'expert s'est nécessairement borné à des considérations d'ordre général. Le Tribunal de céans ne saurait considérer dans ces conditions que le rapport d'expertise ait valeur probante. Il se justifie dès lors de mandater un nouvel expert qui aura pour tâche de répondre aux questions déjà posées au Dr G_________, la cause n'étant toujours pas en état d'être jugée. L'expertise sera confiée au Dr AA_______, spécialiste FMH en psychiatrie et psychothérapie. Il aura pour mission d'éclairer le Tribunal de céans sur le caractère efficace, approprié et économique des soins prodigués par la recourante à l'appelé en cause. Il s'efforcera de voir l'appelé en cause, le cas échéant en se rendant au domicile de celui-ci. S''agissant du choix de l'expert, le Tribunal de céans rappelle que lors du premier mandat, les parties avaient été invitées à suggérer le nom de médecins exerçant de préférence dans un autre canton que Genève ou Vaud, que tous les médecins ainsi indiqués avaient été approchés et que seul le Dr G_________, proposé par l'intimée, s'était déclaré disponible. Vu les difficultés auxquelles il a été confronté pour trouver un médecin pratiquant en dehors de Genève ou Vaud et disposé à</w:t>
      </w:r>
    </w:p>
    <w:p>
      <w:r>
        <w:t>A/3411/2006 - 11/13 - accepter le mandat d'expertise dans un délai raisonnable, le Tribunal de céans a finalement porté son choix sur le Dr AA_______, dont le nom a été évoqué par la recourante lors de la comparution personnelle des parties du 28 avril 2009, considérant au surplus que l'indépendance de celui-ci ne saurait être d'emblée mise en cause au seul motif qu'il exerce à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