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ATAS/948/2014 vom 27. August 2014</w:t>
      </w:r>
    </w:p>
    <w:p>
      <w:r>
        <w:t>GE Cour de justice, 2014-08-27, FR</w:t>
      </w:r>
    </w:p>
    <w:p>
      <w:r>
        <w:rPr>
          <w:b/>
        </w:rPr>
        <w:t xml:space="preserve">Quelle: </w:t>
      </w:r>
      <w:r>
        <w:t>https://mcp.opencaselaw.ch/entscheid/ge_gerichte_ATAS_948_2014</w:t>
      </w:r>
    </w:p>
    <w:p>
      <w:r>
        <w:t>FR: GE_GERICHTE ATAS/948/2014 du 27 août 2014</w:t>
      </w:r>
    </w:p>
    <w:p>
      <w:r>
        <w:t>IT: GE_GERICHTE ATAS/948/2014 del 27 agosto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w:t>
      </w:r>
    </w:p>
    <w:p>
      <w:r>
        <w:t>A/1471/2014 3/4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16 août 2010, d’autre part le 8 avril 2014, date à laquelle le jugement de divorce est devenu exécutoire.</w:t>
      </w:r>
    </w:p>
    <w:p>
      <w:r>
        <w:rPr>
          <w:b/>
        </w:rPr>
        <w:t>E. 4</w:t>
      </w:r>
    </w:p>
    <w:p>
      <w:r>
        <w:t>Selon les documents produits, la prestation acquise pendant le mariage par la demanderesse est de CHF 11'459,85. Ainsi la demanderesse doit à son ex-époux le montant de CHF 5'729,93 (CHF 11'459,85: 2), son ex-époux n'ayant accumulé aucun avoir de vieillesse durant le mariage.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A/1471/2014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