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ATAS/948/2012 vom 6. August 2012</w:t>
      </w:r>
    </w:p>
    <w:p>
      <w:r>
        <w:t>GE Cour de justice, 2012-08-06, FR</w:t>
      </w:r>
    </w:p>
    <w:p>
      <w:r>
        <w:rPr>
          <w:b/>
        </w:rPr>
        <w:t xml:space="preserve">Quelle: </w:t>
      </w:r>
      <w:r>
        <w:t>https://mcp.opencaselaw.ch/entscheid/ge_gerichte_ATAS_948_2012</w:t>
      </w:r>
    </w:p>
    <w:p>
      <w:r>
        <w:t>FR: GE_GERICHTE ATAS/948/2012 du 6 août 2012</w:t>
      </w:r>
    </w:p>
    <w:p>
      <w:r>
        <w:t>IT: GE_GERICHTE ATAS/948/2012 del 6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 recours a été formé dans le délai de trente jours (art. 60 al. 1 LPGA, art. 43 LPCC) courant dès le lendemain de la réception de la décision sur opposition (cf. art. 38 al. 1, 39 al. 2 et 60 al. 2 LPGA) dès lors qu'il a été adressé le 3 novembre 2011 tant au SPC qu'à la Cour de céans et qu’un recours aurait pu être enregistré en novembre 2011 déjà.</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9C_197/2007). b) En l'espèce, la recourante conteste la prise en compte d'un gain potentiel pour son ex-époux du 1er janvier 2000 au 31 décembre 2004 ainsi que la demande de</w:t>
      </w:r>
    </w:p>
    <w:p>
      <w:r>
        <w:t>A/1434/2012 - 7/10 - restitution du subside d'assurance-maladie pour les primes de son ex-mari. Le litige est ainsi limité à ces deux objets.</w:t>
      </w:r>
    </w:p>
    <w:p>
      <w:r>
        <w:rPr>
          <w:b/>
        </w:rPr>
        <w:t>E. 4</w:t>
      </w:r>
    </w:p>
    <w:p>
      <w:r>
        <w:t>a)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la décision sur opposition a été rendue après l'entrée en vigueur de la LPGA, mais elle concerne la restitution de prestations allouées pour partie avant le 1er janvier 2003. La question du droit pertinent ratione temporis ne revêt toutefois pas une importance décisive, du moment que les principes applicables à la restitution selon la LPGA sont issus de la réglementation et de la jurisprudence antérieures (ATF 130 V 318). b) Au niveau fédéral, la LPC, entrée en vigueur le 1er janvier 2008 abroge et remplace la LPC du 19 mars 1965(aLPC). L'ancienne loi est toutefois applicable en l'espèce dès lors que l'objet du litige porte sur le calcul des prestations dues du 1er novembre 2000 au 31 janvier 2005. Celle-ci prévoit qu'ont droit aux prestations les invalides qui ont droit à une demi-rente ou une rente entière de l’AI. Le montant de la prestation complémentaire annuelle correspond alors à la part des dépenses reconnues qui excède les revenus déterminants (art. 3a al. 1 aLPC). (art. 2c let. a LPC). Aux termes de l’art. 3a al. 4 aLPC, les dépenses reconnues et les revenus déterminants des conjoints faisant ménage commun doivent être additionnés. Il n'est pas tenu compte, pour calculer la prestation complémentaire annuelle, des enfants dont les revenus déterminants dépassent les dépenses reconnues (art. 3a al. 6 aLPC). Le droit à une prestation complémentaire annuelle prend naissance le premier jour du mois où la demande est déposée et où sont remplies toutes les conditions légales auxquelles il est subordonné (art. 21 al. 1 OPC-AVS/AI dans sa teneur en vigueur jusqu'au 31 décembre 2007). Selon l’art. 3c al. 1 aLPC, les revenus déterminants comprennent notamment les rentes, pensions et autres prestations périodiques, y compris les rentes de l’AVS et de l’AI (let. d). Conformément à l'art. 3c al. 1 let. g aLPC, les revenus déterminants comprennent, entre autres, les ressources de parts et de fortune dont un ayant droit s'est dessaisi (let. g). Cette disposition est directement applicable lorsque l'époux ou l'épouse d'un assuré s'abstient de mettre en valeur sa capacité de gain, alors qu'il/elle pourrait se voir obligée d'exercer une activité lucrative en vertu de l'art. 163 CC (ATF 117 V 291 s. consid. 3b; ATF non publié, du 9 février 2005, P 40/03, consid. 2).</w:t>
      </w:r>
    </w:p>
    <w:p>
      <w:r>
        <w:t>A/1434/2012 - 8/10 - Le revenu de l'activité lucrative potentielle devra alors, conformément à l'art. 3c al. 1 let. a in fine LPC, être pris en compte à raison des deux tiers seulement (ATF 117 V 292 consid. 3c et la référence). En outre, du revenu hypothétique retenu pour le conjoint du requérant PC, on opère la déduction annuelle de 1'500 fr. afférente aux couples en vertu de l'art. 3c al. 1 let. a aLPC, le solde étant pris en compte à raison des deux tiers. Ainsi, les revenus hypothétiques sont privilégiés de manière identique aux revenus réellement perçus (VSI 2001 p. 129). c) Au niveau cantonal, l’art. 4 LPCC prévoit qu’ont droit aux prestations les personnes dont le revenu annuel déterminant n’atteint pas le revenu minimum cantonal d’aide sociale applicable. Le revenu déterminant au sens de l’art. 5 al. 1 LPCC dans sa teneur en vigueur jusqu'au 31 décembre 2007 comprend notamment: les rentes de l’assurance- vieillesse et survivants et de l’assurance-invalidité ainsi que les indemnités journalières de l’assurance-invalidité (let. d) et les prestations complémentaires fédérales (let. e). Tout comme pour les prestations fédérales, il peut être pris en compte un gain hypothétique pour les personnes partiellement invalides, âgées de moins de 60 ans, qui n’exercent pas d’activité lucrative. Ce gain est déterminé conformément aux dispositions fédérales en vigueur. Cette disposition se réfère ainsi directement aux art. 14a et 14b OPC-AVS/AI. La prestation est modifiée selon les règles prévues en matière de prestations complémentaires fédérales à l'assurance survivants et invalidité (art. 19 LPCC). Selon l’art. 20 al. 1 de la loi d’application de la LAMal du 29 mai 1997 (LaLAMal - J 3 05), sous réserve des exceptions prévues par l’art. 27, les subsides sont destinés : aux assurés de condition économique modeste (let. a); aux assurés bénéficiaires des prestations complémentaires à l’AVS/AI accordées par le service des prestations complémentaires (let. b). Aux termes des art. 25 al. 1 LPGA (s’agissant des prestations fédérales) et 24 al. 1 LPCC (s’agissant des prestations cantonales), ainsi que 33 LaLAMal (pour les subsides)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w:t>
      </w:r>
    </w:p>
    <w:p>
      <w:r>
        <w:t>A/1434/2012 - 9/10 - Selon l’art. 2 al. 1 let a OPGA, 14 al. 1 RPCC et 33 LaLAMal sont soumis à l’obligation de restituer le bénéficiaire des prestations allouées indûment ou ses héritiers. La demande de remise, qui fait l’objet d’une procédure distincte, doit être présentée par écrit, accompagnée des pièces utiles et déposée au plus tard 30 jours à compter de l’entrée en force de la décision en restitution (art. 25 LPGA, 15 RPCC et 33 LaLAMal).</w:t>
      </w:r>
    </w:p>
    <w:p>
      <w:r>
        <w:rPr>
          <w:b/>
        </w:rPr>
        <w:t>E. 5</w:t>
      </w:r>
    </w:p>
    <w:p>
      <w:r>
        <w:t>a) En l'espèce, s'agissant du premier grief de la recourante, il convient de constater, comme l'a relevé l'intimé, que le jugement du Tribunal cantonal des assurances sociales du 22 février 2010 a définitivement tranché la question du gain potentiel de l'ex-époux de la recourante en renvoyant la cause au SPC dans le sens des considérants, soit afin qu'il calcule à nouveau le droit de la recourante en prenant en compte le gain potentiel tel qu'arrêté dans la décision litigieuse mais uniquement jusqu'au 31 décembre 2004. Or, l'intimé s'est conformé au dispositif de l'arrêt précité dès lors que dès le 1er janvier 2005, le gain potentiel de l'ex-époux de la recourante a été supprimé. La décision de l'intimé ne peut ainsi qu'être confirmée, étant par ailleurs précisé que la déduction forfaitaire de 1'500 fr. appliquée par le SPC sur le gain potentiel retenu ne correspond pas à une pension que la recourante aurait reçu de son ex-mari comme celle-ci semble l'avoir compris (courrier du 3 novembre 2011) mais à l'application de la loi (art. 3c al. 1 let. a aLPC). b) Dans un second grief, la recourante conteste devoir rembourser le subside d'assurance-maladie accordé pour les primes d'assurance-maladie de son ex-époux. A cet égard, le Tribunal cantonal des assurances sociales a jugé dans son arrêt du 22 février 2010 que l’assurée et son ex-époux avaient fait ménage commun jusqu’au 31 décembre 2004. Or, la restitution du subside de l’assurance-maladie concernant l’assurée et son ex-conjoint porte sur la période du 1er novembre 2000 au 31 décembre 2004, soit pendant la durée du ménage commun. Au regard de l’art. 2 al. 1 let 1 OPGA, seule la recourante avait durant cette période un droit propre à des prestations de l’AI et un droit autonome à des prestations complémentaires, dont un subside d’assurance-maladie pour elle-même et son ex- conjoint, de sorte qu’elle est l’unique bénéficiaire des prestations allouées indûment durant cette période (cf. à cet égard ATF du 26 février 2010 9C_211/2009). En conséquence, son obligation de restituer le montant du subside d’assurance- maladie pour son ex-époux ne peut qu’être confirmée.</w:t>
      </w:r>
    </w:p>
    <w:p>
      <w:r>
        <w:rPr>
          <w:b/>
        </w:rPr>
        <w:t>E. 6</w:t>
      </w:r>
    </w:p>
    <w:p>
      <w:r>
        <w:t>Partant, le recours ne peut qu’être rejeté.</w:t>
      </w:r>
    </w:p>
    <w:p>
      <w:r>
        <w:t>A/1434/2012 - 10/10 -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