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ATAS/947/2012 vom 6. August 2012</w:t>
      </w:r>
    </w:p>
    <w:p>
      <w:r>
        <w:t>GE Cour de justice, 2012-08-06, FR</w:t>
      </w:r>
    </w:p>
    <w:p>
      <w:r>
        <w:rPr>
          <w:b/>
        </w:rPr>
        <w:t xml:space="preserve">Quelle: </w:t>
      </w:r>
      <w:r>
        <w:t>https://mcp.opencaselaw.ch/entscheid/ge_gerichte_ATAS_947_2012</w:t>
      </w:r>
    </w:p>
    <w:p>
      <w:r>
        <w:t>FR: GE_GERICHTE ATAS/947/2012 du 6 août 2012</w:t>
      </w:r>
    </w:p>
    <w:p>
      <w:r>
        <w:t>IT: GE_GERICHTE ATAS/947/2012 del 6 agosto 2012</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w:t>
      </w:r>
    </w:p>
    <w:p>
      <w:r>
        <w:t>Sa compétence pour juger du cas d’espèce est ainsi établie.</w:t>
      </w:r>
    </w:p>
    <w:p>
      <w:r>
        <w:t>A/959/2012 - 4/6 -</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paiements en espèce effectués durant le mariage ne sont pas pris en compte (art. 22 al. 2 LFLP).</w:t>
      </w:r>
    </w:p>
    <w:p>
      <w:r>
        <w:rPr>
          <w:b/>
        </w:rPr>
        <w:t>E. 3</w:t>
      </w:r>
    </w:p>
    <w:p>
      <w:r>
        <w:t>Selon l'art. 123 al. 2 CC, le juge peut refuser le partage des avoirs de prévoyance professionnelle, en tout ou en partie, lorsque celui-ci s'avère, premièrement, manifestement inéquitable, et, secondement, quand cette inéquité manifeste résulte de la liquidation du régime matrimonial ou de la situation économique des époux après le divorce. Même s'il ne concerne directement que le partage des prestations de sortie selon l'art. 122 CC, cet article s'applique également à la fixation d'une indemnité équitable au sens de l'art. 124 CC (ATF 137 III 49 consid. 3.1; 136 III 449 consid. 4.5.1 et les arrêts cités). L'art. 123 al. 2 CC est d'application restrictive; à défaut, on viderait de sa substance le principe du partage par moitié (ATF 136 III 449 consid. 4.4.1; 135 III 153 consid. 6.1). Un refus entre également en considération lorsque, dans un cas concret et en présence d'un état de fait comparable ou semblable à celui décrit à l'art. 123 al. 2 CC, une indemnité violerait l'interdiction de l'abus manifeste d'un droit (art. 2 al. 2 CC). En revanche, il n'y a pas de place pour d'autres motifs de refus (ATF 136 III 449 consid. 4.5.1; 133 III 497 consid. 4.7). Il appartient au seul juge du divorce de fixer si et dans quelles proportions les prestations de sortie doivent être partagées (art. 142 CC) et, dans ce cadre, d'examiner les conditions d'application de l'art. 123 al. 2 CC, le juge des assurances sociales étant uniquement compétent pour exécuter le partage; il s'ensuit que si l'un des époux entend s'opposer au partage par moitié, il doit recourir contre le jugement de divorce (ATF du 9 juin 2006 B 84/2005).</w:t>
      </w:r>
    </w:p>
    <w:p>
      <w:r>
        <w:rPr>
          <w:b/>
        </w:rPr>
        <w:t>E. 4</w:t>
      </w:r>
    </w:p>
    <w:p>
      <w:r>
        <w:t>En l’espèce, le juge de première instance a ordonné le partage par moitié des avoirs de prévoyance des demandeurs. Les dates pertinentes sont, d’une part, celle du mariage, le 1er avril 1999, d’autre part le 28 janvier 2012, date à laquelle le jugement de divorce est devenu exécutoire. Selon les documents produits, la prestation acquise pendant le mariage par Mme I___________ est de 39'555 fr. 50 auprès de la FONDATION INSTITUTION SUPPLETIVE LPP, les intérêts ayant déjà été calculés par les</w:t>
      </w:r>
    </w:p>
    <w:p>
      <w:r>
        <w:t>A/959/2012 - 5/6 - institutions de prévoyance défenderesses. M. J___________ n'a constitué aucune prestation pendant la durée du mariage. Ainsi Mme I___________ doit à son ex- époux le montant de 19'777 fr. 75 (39'555 fr. 50 : 2). Certes, le juge du divorce a-t-il ordonné le partage par moitié des avoirs de prévoyance des demandeurs en considérant notamment que l'art. 123 al. 2 CC ne trouvait pas application dès lors que la différence entre les montants de prévoyance des demandeurs (soit 36'032 fr. 65 à la CIEPP pour Mme I___________ et 22'525 fr. 65 à la ZÜRCHER KANTONALBANK + 2'869 fr. 30 à la BCG pour M. J___________) n'était pas exorbitante. Or, il ressort de l'instruction menée par la Cour de céans que l'avoir du demandeur a été entièrement constitué avant son mariage de sorte qu'il n'a pas à être partagé. Cependant, la Cour de céans ne saurait, pour ce motif, s'écarter du jugement de divorce entré en force ordonnant le partage par moitié des avoirs de parties, étant relevé que la demanderesse avait la faculté, si elle entendait contester ce mode de partage, de recourir à l'encontre dudit jugement (cf. ATF du 9 juin 2006 B 84/2005).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A/959/2012 - 6/6 -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