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ATAS/946/2024 vom 14. November 2024</w:t>
      </w:r>
    </w:p>
    <w:p>
      <w:r>
        <w:t>GE Cour de justice, 2024-11-14, FR</w:t>
      </w:r>
    </w:p>
    <w:p>
      <w:r>
        <w:rPr>
          <w:b/>
        </w:rPr>
        <w:t xml:space="preserve">Quelle: </w:t>
      </w:r>
      <w:r>
        <w:t>https://mcp.opencaselaw.ch/entscheid/ge_gerichte_ATAS_946_2024</w:t>
      </w:r>
    </w:p>
    <w:p>
      <w:r>
        <w:t>FR: GE_GERICHTE ATAS/946/2024 du 14 novembre 2024</w:t>
      </w:r>
    </w:p>
    <w:p>
      <w:r>
        <w:t>IT: GE_GERICHTE ATAS/946/2024 del 14 novembre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décision de l’intimé, déclarant le recourant inapte au placement dès le 1er décembre 2023, au motif qu’il n’a pas d’autorisation de travailler lui permettant de changer d’emploi.</w:t>
      </w:r>
    </w:p>
    <w:p>
      <w:r>
        <w:rPr>
          <w:b/>
        </w:rPr>
        <w:t>E. 3.1</w:t>
      </w:r>
    </w:p>
    <w:p>
      <w:r>
        <w:t>L'assuré a droit à l'indemnité de chômage, entre autres conditions, s'il est apte au placement (art. 8 al. 1 let. f LACI [RS 837.0]). Selon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(ATF 120 V 378 consid. 3a). Il s'agit de déterminer – de manière prospective, sur la base des faits tels qu'ils se sont déroulés jusqu'au moment de la décision sur opposition (ATF 143 V 168 consid. 2 ; ATF 120 V 385 consid. 2) – si l'assuré, ressortissant étranger, pouvait ou non compter sur l'obtention d'une autorisation de travail (arrêt du Tribunal fédéral 8C_654/2019 du 14 avril 2020 consid. 2.1 et les références, in SVR 2020 ALV n° 17 p. 53 ; arrêt du Tribunal fédéral 8C_180/2022 du 28 octobre 2022 consid. 3.3.1).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w:t>
      </w:r>
    </w:p>
    <w:p>
      <w:r>
        <w:t>A/713/2024 - 4/6 - Lorsqu’ils ne disposent pas d’indices concrets suffisants, l’administration ou le juge doivent s’informer auprès des autorités de police des étrangers ou de marché du travail au sens de l’art. 40 de la loi fédérale sur les étrangers (LEtr devenue LEI ; RS 142.20), pour savoir si la personne intéressée peut s’attendre à obtenir une autorisation de travail (ATF 120 V 385 ; 392 consid. 2c p. 396). Dans le domaine de l’asile, la collaboration entre autorités est d’ailleurs facilitée. Pour qu’une indemnisation puisse avoir lieu, il faut que le droit de travailler existe, et ce pour chaque période concernée (DTA 1996/1997 p. 182 consid. 3a/aa p. 187). L’examen de l’aptitude au placement se fonde sur une appréciation prospective. Il convient donc de déterminer pour chaque période précise si l’assuré pouvait compter obtenir une autorisation de travailler (DTA 2002 p. 46 consid. 3a p. 48 ; p. 111 consid. 2a p. 112 ; arrêt du 11 juillet 2006 [C 168/05]). L’existence d’une telle autorisation à un moment donné ne permet ni à l’administration ni au juge d’admettre l’aptitude au placement pour une période antérieure durant laquelle cette autorisation n’aurait pas été délivrée (arrêt du 24 avril 2007 [C 248/06]). De même, le droit de prendre un emploi n’est pas immuable et peut disparaitre d’un jour à l’autre. Les conditions de résidence habituelle en Suisse au sens de l’art. 12 LACI et de l’autorisation de travailler (art. 15 al. 1 LACI) sont intimement liées (DTA 1996/1997 p. 183 consid. 3b p. 187) et doivent être remplies cumulativement durant toute la période d’indemnisation. Le droit de séjourner et le droit de travailler sont du reste intégrés au même document administratif. Dès que l’une de ces deux conditions fait défaut, le droit à l’indemnité doit être nié (arrêt du 26 août 2010 [8C_128/2010]). On peut déroger à ce principe lorsque l’autorisation de police des étrangers est échue mais que l’étranger a présenté dans les délais une demande de prolongation non vouée à l’échec (ATF 126 V 376 consid. 1c p. 378 ; DTA 1996/1997 p. 183 ; Boris RUBIN, Commentaire de la loi sur l’assurance- chômage, 2014, p. 169-170).</w:t>
      </w:r>
    </w:p>
    <w:p>
      <w:r>
        <w:rPr>
          <w:b/>
        </w:rPr>
        <w:t>E. 3.2</w:t>
      </w:r>
    </w:p>
    <w:p>
      <w:r>
        <w:t>Selon le Bulletin LACI,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Les principes exposés à propos de l'exigence de domicile comme condition du droit à l'indemnité sont aussi applicables en l'occurrence - B137 ss (Bulletin LACI/IC, chiffre B230).</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w:t>
      </w:r>
    </w:p>
    <w:p>
      <w:r>
        <w:t>A/713/2024 - 5/6 -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l’occurrence, le recourant est titulaire d’une autorisation de séjour B valable jusqu’au 29 février 2024, liée à son ancien employeur, qui l’a licencié pour le 30 novembre 2023. Il ne bénéficie pas d’une autorisation lui permettant de travailler pour un autre employeur et est soumis, en cas de nouvel engagement, à une nouvelle autorisation de travailler, comme l’a confirmé l’OCPM à deux reprises. Si un autre employeur était prêt à l’engager, il devrait d’abord préparer un dossier le concernant et le transmettre à l’OCPM, qui ferait ensuite suivre au service de la main-d’œuvre étrangère de l’OCIRT. L’intéressé ne pourrait ainsi débuter une nouvelle activité sans l’aval de ce service.</w:t>
      </w:r>
    </w:p>
    <w:p>
      <w:r>
        <w:rPr>
          <w:b/>
        </w:rPr>
        <w:t>E. 5.2</w:t>
      </w:r>
    </w:p>
    <w:p>
      <w:r>
        <w:t>Quant aux chances d’obtenir une telle autorisation, il convient de relever que, selon l’expérience, certaines demandes de changement d’emploi sont acceptées, mais pas systématiquement. Or, en l’occurrence, rien ne permet de retenir comme établi au degré de la vraisemblance prépondérante que le recourant pourrait compter sur la délivrance d’une autorisation de travailler en cas d’engagement par un nouvel employeur. L’intéressé n’allègue d’ailleurs pas pouvoir prétendre un permis de travail non conditionné, ni qu’un employeur ait manifesté la volonté de déposer une demande pour son compte en vue de l’obtention d’un tel permis, ni même que son admission servirait les intérêts du pays (art. 18 let. a de la loi fédérale sur les étrangers et l'intégration du 16 décembre 2005 [LEI - RS 142.20]) ou serait justifiée par le fait qu’un profil semblable au sien ne pourrait être trouvé parmi les travailleurs en Suisse (art. 21 al. 1 LEI). Aucun indice concret n’est avancé à cet égard.</w:t>
      </w:r>
    </w:p>
    <w:p>
      <w:r>
        <w:rPr>
          <w:b/>
        </w:rPr>
        <w:t>E. 5.3</w:t>
      </w:r>
    </w:p>
    <w:p>
      <w:r>
        <w:t>Dans ces conditions, c’est à juste titre que l’intimé l’a considéré comme inapte au placement à compter du 1er décembre 2023. L’aptitude au placement constituant l’une des conditions nécessaires du droit à l’indemnité, c’est également à juste titre que ce droit lui a été nié par l’intimé.</w:t>
      </w:r>
    </w:p>
    <w:p>
      <w:r>
        <w:rPr>
          <w:b/>
        </w:rPr>
        <w:t>E. 6</w:t>
      </w:r>
    </w:p>
    <w:p>
      <w:r>
        <w:t>Partant, le recours est rejeté. Pour le surplus, la procédure est gratuite (art. 61 let. fbis LPGA a contrario).</w:t>
      </w:r>
    </w:p>
    <w:p>
      <w:r>
        <w:t>***</w:t>
      </w:r>
    </w:p>
    <w:p>
      <w:r>
        <w:t>A/713/2024 - 6/6 -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