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ATAS/946/2015 vom 26. November 2015</w:t>
      </w:r>
    </w:p>
    <w:p>
      <w:r>
        <w:t>GE Cour de justice, 2015-11-26, FR</w:t>
      </w:r>
    </w:p>
    <w:p>
      <w:r>
        <w:rPr>
          <w:b/>
        </w:rPr>
        <w:t xml:space="preserve">Quelle: </w:t>
      </w:r>
      <w:r>
        <w:t>https://mcp.opencaselaw.ch/entscheid/ge_gerichte_ATAS_946_2015</w:t>
      </w:r>
    </w:p>
    <w:p>
      <w:r>
        <w:t>FR: GE_GERICHTE ATAS/946/2015 du 26 novembre 2015</w:t>
      </w:r>
    </w:p>
    <w:p>
      <w:r>
        <w:t>IT: GE_GERICHTE ATAS/946/2015 del 26 novembre 2015</w:t>
      </w:r>
    </w:p>
    <w:p>
      <w:pPr>
        <w:pStyle w:val="Heading2"/>
      </w:pPr>
      <w:r>
        <w:t>Erwägungen</w:t>
      </w:r>
    </w:p>
    <w:p>
      <w:r>
        <w:rPr>
          <w:b/>
        </w:rPr>
        <w:t>E. 1</w:t>
      </w:r>
    </w:p>
    <w:p>
      <w:r>
        <w:t>Conformément à l'art. 134 al. 3 let. a de la loi sur l'organisation judiciaire, du 26 septembre 2010 (LOJ - E 2 05) en vigueur depuis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w:t>
      </w:r>
    </w:p>
    <w:p>
      <w:r>
        <w:rPr>
          <w:b/>
        </w:rPr>
        <w:t>E. 3</w:t>
      </w:r>
    </w:p>
    <w:p>
      <w:r>
        <w:t>a) En matière de prestations complémentaires cantonales, les décisions sur opposition sont sujettes à recours dans un délai de 30 jours (art. 43 LPCC). b) S’agissant des subsides, l’art. 36 de la loi d’application de la loi fédérale sur l’assurance-maladie (LaLAMal – J 3 05) ouvre les mêmes voies de droit. c) En l’espèce, le recours a été déposé dans les forme et délai imposés par la loi, de sorte qu’il est recevable.</w:t>
      </w:r>
    </w:p>
    <w:p>
      <w:r>
        <w:rPr>
          <w:b/>
        </w:rPr>
        <w:t>E. 4</w:t>
      </w:r>
    </w:p>
    <w:p>
      <w:r>
        <w:t>Le litige se limite à la question du bien-fondé du refus du SPC d’accorder à la recourante la remise de son obligation de rembourser la somme de CHF 14’602.-, étant précisé que la décision du 15 janvier 2015, portant sur le principe et le montant de la restitution, est entrée en force.</w:t>
      </w:r>
    </w:p>
    <w:p>
      <w:r>
        <w:t>A/1804/2015 - 6/10 -</w:t>
      </w:r>
    </w:p>
    <w:p>
      <w:r>
        <w:rPr>
          <w:b/>
        </w:rPr>
        <w:t>E. 5</w:t>
      </w:r>
    </w:p>
    <w:p>
      <w:r>
        <w:t>Selon l’art. 33 al. 1 LaLAMal (s’agissant des subsides) et 24 al. 1 LPCC (s’agissant des prestations complémentaires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w:t>
      </w:r>
    </w:p>
    <w:p>
      <w:r>
        <w:rPr>
          <w:b/>
        </w:rPr>
        <w:t>E. 6</w:t>
      </w:r>
    </w:p>
    <w:p>
      <w:r>
        <w:t>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 DTA 2001 p. 160, C 223/00 consid. 5). Les art. 4 et 5 de l'ordonnance sur la partie générale du droit des assurances sociales du 11 septembre 2002 (OPGA - RS 830.11) définissent la situation difficile. L'art. 24 al. 1, 2ème phrase LPCC énonce les mêmes principes que l'art. 25 LPGA.</w:t>
      </w:r>
    </w:p>
    <w:p>
      <w:r>
        <w:rPr>
          <w:b/>
        </w:rPr>
        <w:t>E. 7</w:t>
      </w:r>
    </w:p>
    <w:p>
      <w:r>
        <w:t>Selon la jurisprudence développée à propos de l’art. 47 al. 1 de la loi fédérale sur l'assurance-vieillesse et survivants (LAVS) valant par analogie,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Il y a négligence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(ATF 112 V 97 consid. 2c ; 110 V 176 consid. 3c ; arrêt du Tribunal fédéral 9C_41/2011 du 16 août 2011consid. 5.2). En revanche, la personne assurée peut invoquer sa bonne foi lorsque l'acte ou l'omission fautifs ne représentent qu'une violation légère de l'obligation d'annoncer ou de renseigner (ATF 112 V 97 consid. 2c ; 110 V 176 consid. 3c ; arrêt du Tribunal fédéral des assurances C 110/01 du 23 janvier 2002 consid. 4/a ; DTA 2001 p. 160 ; DTA 1998 p. 70). Les directives concernant les prestations complémentaires à l'AVS et à l'AI (DPC 4652.01; état au 1er janvier 2015) relèvent que si une prestation complémentaire est versée à tort et que l’assuré ne pouvait s’en rendre compte en</w:t>
      </w:r>
    </w:p>
    <w:p>
      <w:r>
        <w:t>A/1804/2015 - 7/10 - faisant preuve de l’attention minimale exigible au vu des circonstances et du cas d’espèce, force est d’admettre la bonne foi.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En effet,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 vieillesse, survivants et invalidité [OPC-AVS/AI - RS 831.301] ; art. 11 LPCC).</w:t>
      </w:r>
    </w:p>
    <w:p>
      <w:r>
        <w:rPr>
          <w:b/>
        </w:rPr>
        <w:t>E. 8</w:t>
      </w:r>
    </w:p>
    <w:p>
      <w:r>
        <w:t>En l’espèce, la recourante allègue avoir informé sans tarder l’intimé au sujet de l’activité indépendante de son époux. Néanmoins, on ne trouve aucune trace, dans le dossier de la recourante auprès du SPC, des attestations établies début 2014. Au surplus, l’allégation selon laquelle la recourante aurait donné mandat à sa fiduciaire d’adresser à l’intimé ces attestations a été démentie par la fiduciaire en question : celle-ci a bel et bien établi les attestations mais dit les avoir remises à la recourante, à charge pour elle de les transmettre à qui de droit. Quant à l’allégation selon laquelle la recourante aurait signalé oralement les faits à son assistante sociale, elle n’est corroborée par aucun élément du dossier. Force est de constater que la recourante n’a pas pu démontrer avoir informé l’intimé à temps.</w:t>
      </w:r>
    </w:p>
    <w:p>
      <w:r>
        <w:t>A/1804/2015 - 8/10 - S’il est vrai que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Celui- 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Bundesverwaltungsrechtspflege,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ATF 130 III 321 consid. 3.2 et 3.3). Aussi n’existe-t-il pas, en droit des assurances sociales, un principe selon lequel l’administration ou le juge devrait statuer, dans le doute, en faveur de l’assuré (ATF 126 V 319 consid. 5a). Eu égard à ces principes, la recourante n’ayant pu établir au degré de la vraisemblance prépondérante requis qu’elle a effectivement rempli son obligation de renseigner l’intimé en temps utile, la chambre de céans ne peut que considérer que tel n’a pas été le cas et, partant, qu’il y a eu violation du devoir d’informer. D’autant plus qu’ainsi que le fait remarquer l’intimé, l’attention de la recourante a été attirée à plusieurs reprises sur ses obligations de contrôler attentivement les montants figurant sur les plans de calcul de ses prestations et de signaler tout changement dans sa situation personnelle et/ou financière. Il y a lieu de rappeler au surplus qu’il n’appartient pas aux assurés de décider quelles sont les informations pertinentes qu’ils doivent transmettre à l’administration. Peu importe que les faits jouent effectivement un rôle dans le calcul des prestations (ATF 123 V 150 consid. 1/b). Ainsi, la recourante était tenue de faire part à l’intimé de la nouvelle activité indépendante de son conjoint, nonobstant le fait que celle-ci s’était rapidement révélée déficitaire. Il sied à cet égard de relever que l’exercice en soi d’une activité indépendante, peu importe qu’elle génère des bénéfices ou des pertes, influe sur les décisions du SPC en matière de PCFam.</w:t>
      </w:r>
    </w:p>
    <w:p>
      <w:r>
        <w:rPr>
          <w:b/>
        </w:rPr>
        <w:t>E. 9</w:t>
      </w:r>
    </w:p>
    <w:p>
      <w:r>
        <w:t>Reste à qualifier la gravité de la faute de la recourante. En effet, ainsi que cela a été rappelé (cf. supra consid. 7), selon la jurisprudence, la bonne foi d'un assuré peut</w:t>
      </w:r>
    </w:p>
    <w:p>
      <w:r>
        <w:t>A/1804/2015 - 9/10 - être reconnue lorsque l'acte ou l'omission fautifs ne constituent qu'une violation légère de l'obligation d'annoncer ou de renseigner. En l’espèce, il convient donc d’examiner si la nécessité d’annoncer sans retard l’activité indépendante de son époux devait ou non apparaître évidente à la recourante. Si l’on peut effectivement admettre dans certaines circonstances que des subtilités de la décision d’octroi de prestations complémentaires puissent échapper à un bénéficiaire, tel n’est pas le cas en l’occurrence. La recourante pouvait en effet se rendre compte, en faisant preuve d’un minimum d’attention, que le montant retenu dans les décisions de PCFam rendues depuis 2013, sous la rubrique « gain de l’activité lucrative » de son époux, ne correspondait pas à la réalité. Elle aurait ainsi dû signaler cette inexactitude à l’intimé dans les plus brefs délais, nonobstant le fait que les décisions et communications de ce dernier l’enjoignaient uniquement à faire part des changements intervenus dans sa situation personnelle. En effet, toute personne bénéficiaire de PCFam est en mesure de se rendre compte qu’un changement dans la situation personnelle de son conjoint, dont le revenu est pris en compte pour le calcul de son droit aux prestations, doit être signalé sans retard au SPC. Par ailleurs, le fait que la recourante ait requis de la part de sa fiduciaire deux attestations indiquant que son époux avait pris en gérance le 1er novembre 2013 un restaurant ne générant aucun revenu démontre qu’elle avait conscience de l’importance de ce changement de situation au moment où il est intervenu. S’y ajoute le fait qu’en l'occurrence, l’omission de l'assurée a eu pour conséquence un versement indu de PCFam de plus de CHF 14’000.-. On ne saurait donc qualifier sa faute de légère.</w:t>
      </w:r>
    </w:p>
    <w:p>
      <w:r>
        <w:rPr>
          <w:b/>
        </w:rPr>
        <w:t>E. 10</w:t>
      </w:r>
    </w:p>
    <w:p>
      <w:r>
        <w:t>Il suit de tout ce qui précède que la recourante ne peut exciper, dans le cas d’espèce, de sa bonne foi au sens de l’art. 25 al. 1 LPGA. Partant, il est superfétatoire d’examiner si la condition de la charge trop lourde est réalisée. Le recours sera donc rejeté, étant précisé que l'intimé a d'ores et déjà annoncé que la mise sur pied d'un plan de paiement est envisageable.</w:t>
      </w:r>
    </w:p>
    <w:p>
      <w:r>
        <w:t>A/1804/2015 - 10/10 -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