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ATAS/945/2018 vom 17. Oktober 2018</w:t>
      </w:r>
    </w:p>
    <w:p>
      <w:r>
        <w:t>GE Cour de justice, 2018-10-17, FR</w:t>
      </w:r>
    </w:p>
    <w:p>
      <w:r>
        <w:rPr>
          <w:b/>
        </w:rPr>
        <w:t xml:space="preserve">Quelle: </w:t>
      </w:r>
      <w:r>
        <w:t>https://mcp.opencaselaw.ch/entscheid/ge_gerichte_ATAS_945_2018</w:t>
      </w:r>
    </w:p>
    <w:p>
      <w:r>
        <w:t>FR: GE_GERICHTE ATAS/945/2018 du 17 octobre 2018</w:t>
      </w:r>
    </w:p>
    <w:p>
      <w:r>
        <w:t>IT: GE_GERICHTE ATAS/945/2018 del 17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de l’assurance-invalidité, singulièrement sur son taux d’invalidité. Il sera relevé que, par décision du 6 juin 2011, l’intimé avait refusé d’entrer en matière sur la demande du recourant du 4 novembre 2011, déposée en raison de problèmes de dos, au motif que celui-ci n’avait pas fourni les pièces requises. La situation médicale n’avait ainsi pas pu être instruite et une décision sur le fond n’avait pas été rendue. Par conséquent, la décision litigieuse du 19 avril 2018, prononcée suite à la demande du recourant du 26 janvier 2016, correspond à une décision initiale.</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w:t>
      </w:r>
    </w:p>
    <w:p>
      <w:r>
        <w:t>A/1686/2018 - 18/33 - peut raisonnablement être exigée de lui après les traitements et les mesures de réadaptation, sur un marché du travail équilibré (art. 16 LPGA et art. 28a al. 1 LAI). d.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 b.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c.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w:t>
      </w:r>
    </w:p>
    <w:p>
      <w:r>
        <w:t>A/1686/2018 - 19/33 - preuves, dès lors qu'une thérapie adéquate et suivie de manière conséquente est considérée comme raisonnablement exigible (ATF 143 V 409 consid. 4.5.2). L'examen des indicateurs standards est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d.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A/1686/2018 - 20/33 -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w:t>
      </w:r>
    </w:p>
    <w:p>
      <w:r>
        <w:t>A/1686/2018 - 21/33 -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a. En l’espèce, la décision attaquée retient, sur la base de l’ « avis cellule de tri » du 1er avril 2016, que le recourant dispose d’une capacité de travail de 50 % dans l’activité habituelle et de 100 % dans une activité adaptée dès le 1er septembre 2015. Il ressort de cet avis, émis par le Dr G______, médecin du SMR, que l’incapacité de travail durable du recourant, carreleur, avait débuté le 15 février 2015 en raison de la rupture de la coiffe des rotateurs de l’épaule droite. Ce dernier avait repris son activité habituelle à 50 % le 1er septembre 2015, laquelle se composait d’une partie administrative à 50 % pour laquelle le recourant avait une capacité de travail entière. La capacité de travail était, depuis le 1er septembre 2015, de 50 % dans l’activité habituelle, et de 100 % dans une activité adaptée. Les limitations fonctionnelles retenues étaient les suivantes : pas de port de charges de plus de 5 kg avec le membre supérieur droit ; pas de travail au-dessus du plan des épaules ; pas de montée/descente d’échelles ou des escaliers.</w:t>
      </w:r>
    </w:p>
    <w:p>
      <w:r>
        <w:t>A/1686/2018 - 22/33 - b. Le recourant considère que ce document n’est pas probant, au motif (notamment) que le Dr G______, dont la spécialisation n’est pas connue, n’est pas répertorié comme médecin FMH. Certes, selon la liste des médecins du SMR du canton de Genève, établi par l’office de l’assurance-invalidité pour le canton de Vaud, le Dr G______ exerce en tant que médecin praticien et ne possède pas une spécialisation. En outre, son nom n’apparaît pas sur la liste des médecins de la FMH (cf. https://www.doctorfmh.ch/index.cfm?event=main.lang&amp;locale=fr_CH#!). Toutefois, il convient de donner raison à l’intimé, lorsqu’il affirme qu'un médecin, quelle que soit sa spécialisation, est en mesure d'émettre un avis circonstancié sur la cohérence d'un rapport d'un confrère (cf. arrêts du Tribunal fédéral 9C_149/2008 du 27 octobre 2008 consid. 3.2 ; 9C_575/2008 du 29 août 2008 consid. 3.3). En effet, le simple fait qu’un médecin ne possède pas une spécialisation médicale ne prouve nullement qu’il ne soit pas apte à analyser un document médical (cf. arrêt du Tribunal fédéral 9C_766/2009 du 12 mars 2010 consid. 2.2). En outre, le fait qu’un praticien, titulaire du diplôme de médecin, ne soit pas reconnu pas la FMH (car il n’a pas passé son examen de spécialisation en Suisse) ne saurait, à lui seul, suffire à remettre en cause ses compétences professionnelles ou son rapport (cf. ATAS/279/2017 du 11 avril 2017 consid. 11c). c. Cela étant, l'argumentation développée par le recourant est bien fondée dans la mesure où il fait valoir que le SMR a manqué de procéder à une appréciation consciencieuse des différents rapports médicaux figurant au dossier. Pour ce motif, l’ « avis cellule de tri » du 1er avril 2016 est dénué de force probante. c/aa. En effet, le Dr G______ a pris position uniquement sur l’atteinte à l’épaule droite du recourant (rupture de la coiffe des rotateurs), sur la base du rapport du Dr E______ du 3 mars 2016, aux termes duquel le recourant, qui souffre d’une rupture itérative de la coiffe des rotateurs de l’épaule droite depuis le 15 février 2015, dispose d’une capacité de travail nulle dans l’activité de carreleur, mais entière dans une activité adaptée. Or, plusieurs rapports médiaux, figurant au dossier et faisant état de diverses pathologies et d’autres limitations fonctionnelles,  antérieurs à la décision litigieuse du 19 avril 2018  ont été ignorés. Sous l’angle somatique, le recourant présente, outre l’atteinte à l’épaule droite, les affections suivantes : une tendinopathie de l’infra-épineux et une déchirure partielle du long chef du biceps gauche ; une hernie discale L5-S1 et une discopathie dégénérative vertébrale lombaire L3-L4 et L5-S1 ; un status post infarctus et un status post angioplastie avec implantation d’un stent actif. Sous l’angle psychique, il souffre d’un épisode dépressif récurrent moyen avec syndrome somatique entrecoupé par des périodes de trois à quatre mois d’épisodes dépressifs légers. Dans son rapport du 12 février 2016, le Dr D______, médecin traitant, qui pose les diagnostics susmentionnés, relève que le recourant a repris son activité à 50 % en tant qu’administrateur depuis le 1er septembre 2015 et que sa capacité de travail,</w:t>
      </w:r>
    </w:p>
    <w:p>
      <w:r>
        <w:t>A/1686/2018 - 23/33 - nulle dans l’activité habituelle depuis le 15 février 2015, est de 50 % dans une activité adaptée à compter du 1er septembre 2016. Dans son rapport du 7 mars 2017, ce médecin indique que le recourant, incapable d’exercer l’activité de carreleur, effectue un travail administratif de bureau à 50 %. Dans son recours du 18 mai 2018, le recourant explique qu’il a réorganisé son activité en 2015 en raison de son état de santé et cessé toutes les tâches de carreleur. Selon les déclarations du recourant, retranscrites dans le rapport d’enquête pour activité professionnelle indépendante du 10 janvier 2018, celui-ci travaille pour la partie administrative ainsi que pour la supervision des chantiers. Force est ainsi de constater que l’activité du recourant, répartie, à la base, entre les tâches administratives (bureau, vente) et l’exploitation (pose de carrelage), ne comprend plus que la partie administrative. Cela étant, le Dr D______ ne précise pas sa capacité de travail dans une activité administrative. En outre, on ignore, faute d’explications circonstanciées, pour quels motifs le Dr D______,  qui retient, à titre de limitations fonctionnelles, en particulier, l’interdiction de faire des flexions du tronc, le port de charges, les travaux répétitifs avec les deux bras, les activités dans différentes positions (à genoux, accroupi)  considère qu’à compter du 1er septembre 2016, le recourant disposerait d’une capacité de travail résiduelle de 50 %, alors que celui-ci n’exerce plus que des tâches administratives depuis le 1er septembre 2015 et a mis un terme aux activités de carrelage, soit des activités physiques nécessitant la manutention quotidienne et répétitive de charges lourdes dans des postures inconfortables (debout, penché, accroupi) (cf. rapport d’entretien de la SUVA du 15 mai 2013). À cet égard, contrairement à ce que prétend le recourant dans sa réplique, le Dr D______, dans son rapport du 23 mai 2018, ne se prononce pas sur la capacité de travail dans une activité adaptée. Il se borne à répéter que le recourant pourrait travailler à 50 % dans des activités administratives, sans expliquer pour quels motifs il retient ce taux, alors qu’il relève que les lombalgies sont exacerbées par les efforts physiques  que le recourant n’effectue plus  et que les douleurs aux deux épaules sont provoquées par une élévation du membre supérieur à partir du niveau de son cou. Sur le vu de ce qui précède, on ne saurait se fonder sur ces rapports pour apprécier la capacité de travail du recourant. c/bb. Dans son rapport du 1er mars 2017, le Dr J______, médecin d’arrondissement de la SUVA, indique que la capacité de travail du recourant est entière dans une activité adaptée, en tenant compte des limitations fonctionnelles établies par le Dr H______ dans son rapport d’examen final, lequel est basé sur celui de la CRR. Force est toutefois de constater que ni le Dr H______, ni la CRR ne spécifient à quel degré ils évaluent la capacité de travail résiduelle du recourant. Le premier mentionne uniquement les limitations fonctionnelles qu’il retient (activité exigeant des sollicitations répétitives des épaules au-dessus de l’horizontale ou le port de charges excédant 10 kg). La seconde se contente de relever que le pronostic de réinsertion dans une activité adaptée respectant les limitations fonctionnelles</w:t>
      </w:r>
    </w:p>
    <w:p>
      <w:r>
        <w:t>A/1686/2018 - 24/33 - retenues au niveau de l’épaule est favorable. Qui plus est, la CRR s’est déterminée uniquement sur les atteintes qui ne relèvent que de l’assurance-accidents. Elle n’a donc pas pris en compte les lombalgies dans son évaluation. On ne saurait donc se fier auxdits rapports en ce qui concerne les atteintes relevant de l’assurance-invalidité. c/cc. S’agissant de l’infarctus, dont le recourant a été victime le 15 février 2014 et en raison duquel il a subi une angioplastie avec implantation d’un stent actif, le Dr F______, cardiologue, relève dans son rapport du 27 février 2015 que l’examen clinique était normal et l’évolution clinique favorable, puisque le recourant ne présentait pas de douleur thoracique résiduelle ni de symptôme d’insuffisance cardiaque. Il convient, sur cette base, de retenir que le recourant ne présentait pas d’incapacité de travail pour des raisons cardiaques au moment où la décision ligueuse a été rendue, ce d’autant qu’il n’a produit aucune pièce médicale qui en attesterait. c/dd. Sous l’angle psychique, dans son rapport du 10 février 2017, le Dr I______, psychiatre, pose le diagnostic, avec effet sur la capacité de travail, d’épisode dépressif récurrent moyen avec syndrome somatique entrecoupé par des périodes de trois à quatre mois d’épisodes dépressifs légers. Le recourant prend de la Fluoxétine. La capacité de travail tant dans l’activité habituelle (d’employé de bureau) que dans une activité adaptée (de bureau) est de 50 % depuis le 15 février 2016. Dans l’anamnèse, le médecin note des décompensations dépressives moyennes et légères récurrentes dans le contexte d’un isolement affectif et partiellement social. Dans son rapport du 12 février 2016, le Dr D______ retient une dépression nerveuse ainsi qu’une anxiété depuis le 15 février 2014. Il indique que le recourant était angoissé depuis son infarctus et déprimait. Dans son rapport du 7 mars 2017, ce médecin relève que son patient était suivi par le Dr I______ suite à une crise cardiaque. Le Dr F______ pose également le diagnostic d’état anxieux (cf. rapport du 27 février 2015). Même si le recourant a eu des décompensations dépressives moyennes et légères récurrentes dans le contexte d’un isolement affectif et partiellement social  soit des conflits émotionnels et des problèmes psychosociaux qui ne sont pas du ressort de l'AI  au vu des rapports des médecins traitants précités, il ne semble pas que le Dr I______ ait retenu le diagnostic d’épisode dépressif récurrent moyen uniquement dans le contexte de troubles psychosociaux. On ignore toutefois, faute d’explications, si la capacité de travail de 50 % que retient le psychiatre dans toute activité (de bureau) se rapporte uniquement à l’épisode dépressif récurrent moyen ou, au contraire, prend aussi en compte les décompensations dépressives dans le contexte de facteurs psychosociaux. Si tel est le cas, on ignore à partir de quelle date ces facteurs n’influencent plus l’évolution et l’appréciation de la capacité de travail du recourant pour ce qui concerne exclusivement le diagnostic d’épisode</w:t>
      </w:r>
    </w:p>
    <w:p>
      <w:r>
        <w:t>A/1686/2018 - 25/33 - dépressif récurrent moyen. En outre, compte tenu de la récente jurisprudence relative aux troubles dépressifs de degré léger à moyen  qu’ils soient récurrents ou épisodiques  on observe que le psychiatre ne spécifie nullement pour quels motifs le recourant présente des limitations fonctionnelles (ralentissement psychomoteur modéré, troubles de la concentration modérés) ayant des répercussions sur la capacité de travail, en dépit d’un traitement antidépresseur (Fluoxétine), alors qu’il ne souffre que d’un épisode dépressif récurrent moyen (cf. ATF 143 V 409 consid. 4.5.2). Au vu de ces considérations, on ne saurait pas non plus s’appuyer sur le rapport du Dr I______ pour apprécier la capacité de travail du recourant. d. Quant à l’avis du SMR du 6 juillet 2018, que l’intimé a produit avec sa duplique, il est dénué de valeur probante, puisque le Dr G______ se borne à répéter les conclusions du Dr H______ (rapport du 12 octobre 2016), de la CRR (rapport du 21 juin 2016), du Dr D______ (rapports des 12 février 2016, 7 mars 2017, 23 mai 2018) et du Dr I______ (rapport du 10 février 2017). Or, pour les motifs exposés ci-dessus, on ne saurait se baser sur ces documents pour déterminer la capacité de travail du recourant. De surcroît, le Dr G______ ne se prononce guère sur la capacité de travail résiduelle du recourant. e. Il découle de ce qui précède que, faute par l’intimé d'une analyse exhaustive de la situation médicale du recourant, et à défaut d’informations suffisantes sur les répercussions des atteintes à la santé (affections des deux épaules, lombalgies, troubles psychiques) sur la capacité de travail, la chambre de céans n’est pas en mesure de se prononcer sur le degré d’invalidité du recourant. En pareilles circonstances, il n’appartient pas au juge de suppléer aux carences administratives.</w:t>
      </w:r>
    </w:p>
    <w:p>
      <w:r>
        <w:rPr>
          <w:b/>
        </w:rPr>
        <w:t>E. 11</w:t>
      </w:r>
    </w:p>
    <w:p>
      <w:r>
        <w:t>Par conséquent, il y a lieu de renvoyer la cause à l’intimé pour instruction complémentaire, ce d’autant qu’on ne saurait priver les parties de la garantie d’une double instance avec plein pouvoir d’examen en fait et en droit (décision administrative sujette à opposition, puis recours). Dans la mesure où les Drs D______ et I______ se sont déterminés sur la base des examens effectués, ont relevé les plaintes exprimées par le recourant et leurs rapports, en l’état, ne comportent pas de contradictions, de sorte qu’ils sont à ce stade uniquement lacunaires sur certains points (relevés ci-dessus), l’intimé pourrait, dans un premier temps, s’enquérir auprès de ces derniers pour obtenir des clarifications circonstanciées quant à la capacité de travail du recourant. À défaut d’explications convaincantes, l’intimé devra alors mettre en œuvre une expertise.</w:t>
      </w:r>
    </w:p>
    <w:p>
      <w:r>
        <w:rPr>
          <w:b/>
        </w:rPr>
        <w:t>E. 12</w:t>
      </w:r>
    </w:p>
    <w:p>
      <w:r>
        <w:t>Par économie de procédure, il convient encore de relever les commentaires suivants s’agissant du calcul du degré d’invalidité opéré par l’intimé. a. Pour évaluer celui-ci,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sans activité lucrative,</w:t>
      </w:r>
    </w:p>
    <w:p>
      <w:r>
        <w:t>A/1686/2018 - 26/33 - assuré exerçant une activité lucrative à temps partiel (ATF 137 V 334 consid. 3.1).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et la méthode extraordinaire de comparaison des revenus (ATF 137 V 334 consid. 3.1.1 et les références).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Dans le cas d’un indépendant, le degré d’invalidité ne saurait être déterminé en appliquant la méthode de la comparaison en pour-cent, cette méthode ne prenant pas en considération le fait que la gestion d'une structure commerciale engendre des charges fixes et incompressibles, telles que loyer, mobilier ou assurances, qui sont indépendantes de la variation du degré d'activité. Une diminution du chiffre d'affaires ne se traduit donc pas par une diminution proportionnelle du bénéfice. De telles circonstances nécessitent bien plutôt l'examen concret de la situation de la personne assurée (arrêt du Tribunal fédéral 9C_44/2011 du 1er septembre 2011 consid. 4.2 et 4.3). d. Si l'on ne peut déterminer ou évaluer sûrement les deux revenus en cause, il faut, en s'inspirant de la méthode spécifique pour personnes sans activité lucrative (art. 28a al. 2 LAI en corrélation avec les art. 27 du règlement sur l'assurance- invalidité du 17 janvier 1961 [RAI –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w:t>
      </w:r>
    </w:p>
    <w:p>
      <w:r>
        <w:t>A/1686/2018 - 27/33 -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la pratique, la méthode extraordinaire est souvent applicable aux indépendants. Elle est surtout utile dans les secteurs agricole et artisanal, mais ne l’est guère dans le domaine administratif (cf. circulaire sur l’invalidité et l’impotence dans l’assurance-invalidité, établi par l’office fédéral des assurances sociales dans sa teneur en vigueur au 1er janvier 2018 [CIIAI], ch. 3103 ; arrêt du Tribunal fédéral 8C_346/2012 consid. 4.5). e.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9C_46/2016 du 10 août 2016 consid. 2.1; arrêt du Tribunal fédéral 9C_44/2011 du 1er septembre 2011 consid. 3.3 et les références). Il convient donc de distinguer clairement la situation personnelle de la personne assurée, seule déterminante au regard de l’assurance-invalidité, de celle de l’entreprise dont elle est la propriétaire économique (arrêt du Tribunal fédéral 9C_572/2010 du 25 mars 2011 consid. 3.5 in fine). Lorsqu'il n'est pas possible d'établir ou d'évaluer de manière fiable les deux revenus provenant d'une activité lucrative, il faut appliquer la méthode extraordinaire d'évaluation de l'invalidité (ATF 128 V 30 consid. 1).</w:t>
      </w:r>
    </w:p>
    <w:p>
      <w:r>
        <w:rPr>
          <w:b/>
        </w:rPr>
        <w:t>E. 13</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w:t>
      </w:r>
    </w:p>
    <w:p>
      <w:r>
        <w:t>A/1686/2018 - 28/33 -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I. 750/04 du 5 avril 2006 consid. 5.3, in SVR 2007 IV n. 1 p. 1; I.11/00 du 22 août 2001 consid. 5a/bb, in VSI 2001 p. 274).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I.840/81 du 26 avril 1982, in RCC 1983 p. 246; voir également arrêt 8C_748/2008 du 10 juin 2009 consid. 4). Lorsqu’un changement d’activité professionnelle est raisonnablement exigible, compte tenu de la diminution importante du dommage que l’on peut en attendre, il y a lieu d’appliquer non pas la méthode extraordinaire mais la méthode ordinaire de comparaison de revenus (arrêts du Tribunal fédéral 8C_748/2008 du 10 juin 2009 consid. 4.2.2 et 9C_609/2009 du 15 avril 2010 consid. 7.3). c.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du Tribunal fédéral 9C_695/2010 du 15 mars 2011 consid. 5). S'il est vrai que des facteurs tels que l'âge, le manque de formation ou les difficultés</w:t>
      </w:r>
    </w:p>
    <w:p>
      <w:r>
        <w:t>A/1686/2018 - 29/33 -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9C_849/2007 du 22 juillet 2008 consid. 5.2).</w:t>
      </w:r>
    </w:p>
    <w:p>
      <w:r>
        <w:rPr>
          <w:b/>
        </w:rPr>
        <w:t>E. 14</w:t>
      </w:r>
    </w:p>
    <w:p>
      <w:r>
        <w:t>a. En l’espèce, il convient de déterminer si c’est à bon droit que l’intimé a appliqué la méthode ordinaire de comparaison des revenus, en se référant au rapport d’enquête pour activité professionnelle indépendante du 10 janvier 2018. Dans ce rapport, l’enquêtrice parvient à la conclusion qu’il y a lieu d’appliquer cette méthode d’évaluation de l’invalidité, au motif que l’incapacité de travail, d’après son analyse, ne semblait pas avoir d’influence effective sur la société Art &amp; Maison SA, dont le recourant est l’administrateur unique. Sur ce, elle a calculé le degré d’invalidité en se fondant sur les résultats d’exploitation et le revenu soumis à cotisation AVS. Cela étant, les données comptables de l’entreprise du recourant ne sauraient constituer une base valable pour évaluer son incapacité de gain, car elles ne permettent pas de distinguer la part du revenu qui résulte exclusivement de la prestation personnelle de travail du recourant de celle qu’il faut attribuer à des facteurs étrangers. Certes, il ressort des comptes d’exploitations de l’entreprise que les frais résultant de la sous-traitance ont été soustraits du chiffre d’affaires, de même que les frais liés à l’exploitation de la société, et que l’enquêtrice a également déduit le paiement des indemnités journalières par les assurances, comptabilisé dans le bilan. Toutefois, durant les années précédant la survenance de l’atteinte à la santé du recourant (2012 à 2014) de même qu’à compter de la survenance de son atteinte à la santé, la société avait, outre le recourant, un autre employé qui avait également contribué à la réalisation de son chiffre d’affaires, et partant, de son bénéfice d’exploitation. À cela s’ajoute qu’en 2014 et 2015, du personnel temporaire avait été engagé. Or, le salaire versé aux employés n’a pas été soustrait du calcul ; les données comptables enregistrent la masse salariale qui englobe tant le salaire des employés que celui du recourant. En outre, le chiffre d’affaires (CHF 1'032'412.55 en 2011; CHF 1'074'097.57 en 2012; CHF 687'663.78 en 2013; CHF 1'703'945.08 en 2014) et le bénéfice net de l’exploitation (CHF 158'032.09 en 2011; CHF 12'854.95 en 2012; CHF 6'285.29 en 2013; CHF 10'821.35 en 2014) ne sont pas restés stables jusqu’à l’atteinte à la santé. L’activité de la société était ralentie, entre autres, en raison de la séparation du recourant et de la crise économique, et dès 2014, l’enquêtrice a fait état d’une augmentation des mandats (« la société avait obtenu divers marchés et les affaires reprenaient »), fait que le recourant a confirmé dans son opposition et dans son recours (« les années 2015 et 2016 avaient été influencés positivement par l’obtention, avant l’accident, d’un important chantier »). Il s’ensuit que les résultats</w:t>
      </w:r>
    </w:p>
    <w:p>
      <w:r>
        <w:t>A/1686/2018 - 30/33 - d’exploitation pris en compte à titre de revenu sans invalidité et avec invalidité comprennent une part qu’il faut attribuer à des facteurs étrangers (activité des employés de l’entreprise et situation conjoncturelle notamment). Les revenus à comparer ne pouvant pas être établis de manière fiable, l’invalidité du recourant doit, à priori, être évaluée conformément à la méthode extraordinaire. Cela étant, suite à son atteinte à la santé en 2015, le recourant a cessé toutes les tâches de carreleur et travaille depuis lors uniquement en tant que responsable administratif. Dans ce cas de figure, il y a lieu de renoncer à l’application de cette méthode d’évaluation, puisque la comparaison des activités  utile dans les secteurs agricole et artisanal  s’avère inutile dans le domaine administratif (arrêt du Tribunal fédéral 8C_346/2012 du 24 août 2012 consid. 4.5). Dans ces circonstances, il convient d’évaluer l’invalidité suivant la méthode générale de comparaison des revenus  il y a en effet lieu d’admettre que le recourant aurait continuer à exercer une activité lucrative à plein temps, sans atteinte à la santé. b. La différence entre le calcul opéré par l’enquêtrice et celui qu’il y a lieu d’effectuer ici réside dans les paramètres à prendre en compte pour déterminer les revenus à comparer. Dans la première hypothèse, pour autant que les données comptables soient fiables  ce qui n’est pas le cas en l’espèce , les résultats d’exploitation avant et après la survenance de l’invalidité sont décisifs. Dans le second cas, on détermine les revenus sans et avec invalidité de la manière qui sera exposée ci-après. On relèvera au préalable que, dans la mesure où le recourant, bien que salarié de l’entreprise B______ SA, en est l’administrateur unique avec signature individuelle, il dispose d’une influence déterminante sur celle-ci. De par cette position, il a une influence déterminante sur la répartition des revenus entre salaire et bénéfice, de sorte qu’on ne peut pas se baser seulement sur les extraits du CI pour fixer son taux d’invalidité (cf. CIIAI, ch. 3028.2; arrêt du Tribunal fédéral 8C_346/2012 du 24 août 2012 consid. 4.6). b/aa.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b/bb.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t>A/1686/2018 - 31/33 - In casu, le taux d'invalidité doit se calculer dès le moment de la naissance du droit à la rente soit en l'occurrence, à l'échéance du délai d'attente d'un an dès l'incapacité durable de travail, soit en février 2016. Il y a lieu de se référer aux données communiquées par B______ SA le 1er juillet 2016, aux termes desquelles le revenu du recourant s’élèverait, sans atteinte à la santé, à CHF 62'400.- en 2016  montant qui paraît probable compte tenu du fait que celui-ci perçoit depuis février 2000 un salaire annuel de CHF 60'000.- (cf. questionnaire pour l’employeur du 1er juillet 2016 ; demande de prestations du 4 novembre 2011 ; rapport d’enquête du 10 janvier 2018). Il convient donc de retenir un revenu sans invalidité de CHF 62'400.- en 2016. b/cc.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In casu, une fois avoir clarifié la situation médicale du recourant et examiné l’exigibilité d’une nouvelle activité professionnelle au vu de l’ensemble des circonstances objectives et subjectives du cas d’espèce, l’intimé sera fondé à se référer aux ESS pour déterminer le revenu d’invalide.</w:t>
      </w:r>
    </w:p>
    <w:p>
      <w:r>
        <w:rPr>
          <w:b/>
        </w:rPr>
        <w:t>E. 15</w:t>
      </w:r>
    </w:p>
    <w:p>
      <w:r>
        <w:t>Enfin, le recourant prétend qu’il a droit à une demi-rente d’invalidité sur la base de la note du service de réadaptation du 7 février 2018. Il a été relevé dans cette note que, le recourant, indépendant depuis 1988, avait pu reprendre son activité habituelle à 50 % à compter du mois de septembre 2015. Il n’était pas indiqué qu’il change d’activité. Dans ce cas précis, la capacité de travail se confondait avec la capacité de gain. 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I.43/05 du 30 juin 2006 consid. 5.2 et I.1/03 du 15 avril 2003 consid. 5.2). b. En l’occurrence, contrairement à ce que semble croire le recourant, on ne saurait retenir que le service de réadaptation, lorsqu’il affirme que celui-ci a repris son activité habituelle à 50 %, admet une capacité de travail à hauteur de 50 %, ce d’autant que, pour les motifs exposés ci-dessus, la capacité de travail du recourant mérite des éclaircissements. Ce n’est qu’une fois ce point clarifié que l’on peut déterminer si, le cas échéant, le degré d’invalidité se confond avec celui de l’incapacité de travail. D’ailleurs, le fait d’avoir longtemps travaillé à titre</w:t>
      </w:r>
    </w:p>
    <w:p>
      <w:r>
        <w:t>A/1686/2018 - 32/33 - indépendant ne suffit pas, à lui seul, pour conclure à l'absence d'exigibilité d'un changement d'occupation professionnelle, puisque le recourant possède d’autres expériences professionnelles, dans des domaines économiques autres que celui dans lequel il a œuvré en tant que carreleur (à savoir : peintre en bâtiment, vendeur, ouvrier en mécanique de précision) (cf. rapport du Dr D______ du 12 février 2016), ce qui démontre d’importantes capacités d’adaptation et, partant, l’exigibilité d’un changement de profession. Il incombera toutefois à l’intimé d’apprécier dans quelle mesure un changement d’activité, le cas échéant, serait raisonnablement exigible au vu de l’ensemble des circonstances objectives et subjectives du cas d’espèce.</w:t>
      </w:r>
    </w:p>
    <w:p>
      <w:r>
        <w:rPr>
          <w:b/>
        </w:rPr>
        <w:t>E. 16</w:t>
      </w:r>
    </w:p>
    <w:p>
      <w:r>
        <w:t>Par conséquent, le recours est partiellement admis, la décision litigieuse annulée et la cause renvoyée à l’intimé pour instruction complémentaire au sens des considérants et nouvelle décision.</w:t>
      </w:r>
    </w:p>
    <w:p>
      <w:r>
        <w:rPr>
          <w:b/>
        </w:rPr>
        <w:t>E. 17</w:t>
      </w:r>
    </w:p>
    <w:p>
      <w:r>
        <w:t>Le recourant, représenté, obtenant partiellement gain de cause, une indemnité de CHF 1’500.- lui sera accordé à titre de participation à ses frais et dépens (art. 61 let. g LPGA; art. 6 du règlement sur les frais, émoluments et indemnités en matière administrative du 30 juillet 1986 [RFPA – E 5 10.03]). Étant donné que, depuis le 1er juillet 2006, la procédure n'est plus gratuite (art. 69 al. 1bis LAI), au vu du sort du recours, il y a lieu de condamner l'intimé au paiement d'un émolument de CHF 200.-.</w:t>
      </w:r>
    </w:p>
    <w:p>
      <w:r>
        <w:t>A/1686/2018 - 33/33 -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