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ATAS/945/2015 vom 26. November 2015</w:t>
      </w:r>
    </w:p>
    <w:p>
      <w:r>
        <w:t>GE Cour de justice, 2015-11-26, FR</w:t>
      </w:r>
    </w:p>
    <w:p>
      <w:r>
        <w:rPr>
          <w:b/>
        </w:rPr>
        <w:t xml:space="preserve">Quelle: </w:t>
      </w:r>
      <w:r>
        <w:t>https://mcp.opencaselaw.ch/entscheid/ge_gerichte_ATAS_945_2015</w:t>
      </w:r>
    </w:p>
    <w:p>
      <w:r>
        <w:t>FR: GE_GERICHTE ATAS/945/2015 du 26 novembre 2015</w:t>
      </w:r>
    </w:p>
    <w:p>
      <w:r>
        <w:t>IT: GE_GERICHTE ATAS/945/2015 del 26 novembre 2015</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a) Au niveau fédéral, la LAFam et l’ordonnance du Conseil fédéral sur les allocations familiales du 31 octobre 2007 - entrée en vigueur le 1er janvier 2009 - (OAFam - RS 836.21) sont applicables, étant précisé qu’aux termes de l’art. 1 LAFam, la loi fédérale du 6 octobre 2000 sur la partie générale du droit des assurances sociales (LPGA - RS 830.1) s’applique également, à moins que la LAFam n’y déroge. b) Sont également applicables, au niveau cantonal, la loi sur les allocations familiales du 1er mars 1996 (LAF - RS GE J 5 10), ainsi que le règlement d’exécution de ladite loi, en vigueur depuis le 1er janvier 2009 (RAF - RS GE J 5 10.01). Conformément à l’art. 2B LAF, les prestations sont régies par la LAF et ses dispositions d’exécution, ainsi que par la LAFam, la LPGA et la loi fédérale sur l'assurance-vieillesse et survivants (LAVS - RS 831.10), dans la mesure où la LAFam ou la LAF y renvoient.</w:t>
      </w:r>
    </w:p>
    <w:p>
      <w:r>
        <w:rPr>
          <w:b/>
        </w:rPr>
        <w:t>E. 3</w:t>
      </w:r>
    </w:p>
    <w:p>
      <w:r>
        <w:t>Interjeté dans les forme et délai prévus par la loi, le recours est recevable (art. 38A al. l LAF, 38C let. b LAF et 22 LAFam).</w:t>
      </w:r>
    </w:p>
    <w:p>
      <w:r>
        <w:rPr>
          <w:b/>
        </w:rPr>
        <w:t>E. 4</w:t>
      </w:r>
    </w:p>
    <w:p>
      <w:r>
        <w:t>L’objet du litige se limite au bien-fondé de la demande de restitution des allocations familiales du 1er juillet au 30 novembre 2013.</w:t>
      </w:r>
    </w:p>
    <w:p>
      <w:r>
        <w:t>A/2549/2015 - 5/10 - En effet, la remise de l’obligation de restituer relève d'une procédure distincte de la restitution (arrêt du Tribunal fédéral P 64/06 du 30 octobre 2007 consid. 4), ainsi que l’a d’ailleurs souligné l’intimée dans sa décision sur opposition.</w:t>
      </w:r>
    </w:p>
    <w:p>
      <w:r>
        <w:rPr>
          <w:b/>
        </w:rPr>
        <w:t>E. 5</w:t>
      </w:r>
    </w:p>
    <w:p>
      <w:r>
        <w:t>Les allocations familiales sont des prestations en espèces, uniques ou périodiques, destinées à compenser partiellement la charge financière représentée par un ou plusieurs enfants (art. 2 LAFam). Le droit cantonal définit les allocations familiales de la même manière (cf. art. 4 al. 1 LAF). L’art. 4 al. 2 LAF précise que les allocations familiales doivent être affectées exclusivement à l’entretien du ou des enfants. Les allocations familiales sont payées, en général, au bénéficiaire (art. 11 al. 1 LAF). Elles peuvent cependant être versées, sur demande motivée, à un tiers ou à une autorité si les bénéficiaires ne les utilisent pas ou risquent de ne pas les utiliser pour l’entretien de l’enfant (art. 11 al. 2 LAF).</w:t>
      </w:r>
    </w:p>
    <w:p>
      <w:r>
        <w:rPr>
          <w:b/>
        </w:rPr>
        <w:t>E. 6</w:t>
      </w:r>
    </w:p>
    <w:p>
      <w:r>
        <w:t>Selon l’art. 4 LAFam, donnent droit aux allocations les enfants avec lesquels l’ayant-droit a un lien de filiation en vertu du code civil suisse, du 10 décembre 1907 (CC - RS 210) (let. a), les enfants du conjoint de l’ayant-droit (let. b), les enfants recueillis (let. c), ainsi que les frères, sœurs et petits-enfants de l’ayant droit, s’il en assume l’entretien de manière prépondérante (let. d). Sur le plan cantonal, l’art. 3 al. 1 LAF prévoit qu’une personne assujettie à la loi peut bénéficier des prestations pour les enfants avec lesquels elle a un lien de filiation en vertu du code civil (let. a), pour les enfants du conjoint ou du partenaire enregistré (let. b), pour les enfants recueillis (let. c), pour ses frères, sœurs et petits- enfants, si elle en assume l’entretien de manière prépondérante (let. d). Est notamment soumis à la loi, le salarié au service d’un employeur tenu de s’affilier à une caisse d’allocations familiales en application de l’art. 23 al. 1 de la loi (cf. art. 2 let. b) LAF). Selon l'art. 7 al. 1 LAFam, en sa teneur en vigueur depuis le 1er janvier 2013,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 familiale du canton de domicile de l'enfant, e. à la personne dont le revenu soumis à l'AVS et provenant d’une activité lucrative dépendante est le plus élevé,</w:t>
      </w:r>
    </w:p>
    <w:p>
      <w:r>
        <w:t>A/2549/2015 - 6/10 - f. à la personne dont le revenu soumis à l’AVS et provenant d’une activité lucrative indépendante est le plus élevé. La même règle en cas de concours de droits figure sur le plan cantonal à l’art. 3B LAF.</w:t>
      </w:r>
    </w:p>
    <w:p>
      <w:r>
        <w:rPr>
          <w:b/>
        </w:rPr>
        <w:t>E. 7</w:t>
      </w:r>
    </w:p>
    <w:p>
      <w:r>
        <w:t>En l’espèce, il existe un lien de filiation reconnu par le CC tant avec la recourante qu’avec le père de l’enfant. En conséquence, il y a lieu de se référer aux art. 7 al. 1 let. a et b LAFam et 3B al. 1 let. a et b LAF, lesquels prévoient que, lorsque plusieurs personnes peuvent faire valoir un droit aux allocations familiales pour le même enfant en vertu d’une législation fédérale ou cantonale, le droit aux prestations est reconnu en priorité à la personne qui exerce une activité lucrative, subsidiairement seulement à celle qui détient l’autorité parentale ou qui la détenait jusqu’à la majorité de l’enfant. En l’espèce, il est établi que la recourante est sans activité lucrative, alors que le père de l’enfant en exerce une depuis avril 1998. II ne fait donc aucun doute que le père de B______ est l'ayant droit prioritaire des allocations familiales. C’est donc à juste titre qu’il a été reconnu comme titulaire du droit aux allocations, rétroactivement au 1er mai 2010. Le fait que la recourante soit restée l’unique détentrice de l’autorité parentale ne modifie en rien l’ordre de priorité établi par la loi fédérale, ce critère n’intervenant que si le premier (relatif à l’exercice d’une activité lucrative) n’est pas suffisant pour déterminer l’ayant droit prioritaire. C’est donc à tort que l’intimée, dans sa décision du 21 janvier 2014, a « supprimé le droit de la recourante aux allocations familiales » : en réalité, l’intéressée n’avait quoi qu’il en soit pas droit aux allocations mais s’était simplement vu reconnaitre la possibilité qu’elles soient versées en ses mains en sa qualité de titulaire de la garde. La question qui se pose est donc celle de savoir si la demande de restitution des allocations versées à la recourante après que la garde de l’enfant a été transférée au père est justifiée.</w:t>
      </w:r>
    </w:p>
    <w:p>
      <w:r>
        <w:rPr>
          <w:b/>
        </w:rPr>
        <w:t>E. 8</w:t>
      </w:r>
    </w:p>
    <w:p>
      <w:r>
        <w:t>Il y a lieu de rappeler que les allocations familiales sont destinées à l'entretien des enfants (art. 2 et 9 LAFam ; cf. également art. 4 LAF). C’est en vertu de ce principe qu’il est prévu qu’elles puissent être versées, sur demande motivée, à un tiers ou à une autorité, si les bénéficiaires ne les utilisent pas ou risquent de ne pas les utiliser pour l'entretien de l'enfant (art. 11 LAF). En l’espèce, la recourante allègue avoir continué, d’entente avec le père de l’enfant, à s’acquitter des principaux frais liés à l’entretien courant de son fils, même après l’entrée en force de l’ordonnance du TPAE du 2 mai 2013. Elle en tire la conclusion qu’elle n’aurait donc pas contrevenu à son obligation d’informer l’intimée, la situation ne s’étant selon elle pas modifiée suite au transfert du droit de garde de B______ à son père.</w:t>
      </w:r>
    </w:p>
    <w:p>
      <w:r>
        <w:t>A/2549/2015 - 7/10 - Cet argument tombe à faux. On rappellera qu’aux termes de l’art. 31 al. 1 LPGA, l’ayant droit, ses proches ou les tiers auxquels une prestation est versée sont tenus de communiquer à l’assureur ou, selon le cas, à l’organe compétent toute modification importante des circonstances déterminantes pour l’octroi d’une prestation et que l’art. 36 LAF prévoit expressément le devoir du bénéficiaire des allocations familiales d’annoncer toute modification le concernant. En effet, selon cette disposition, le bénéficiaire, tout comme celui auquel les allocations sont versées, doit signaler sans délai tout changement pouvant influer sur le droit à l’allocation ou susceptible d’entraîner la désignation d’un nouveau bénéficiaire. Il est patent que le transfert de la garde constitue un tel élément. En effet, peu importent les arrangements internes pris entre les parents. Le versement en mains de la mère a été accordé parce qu’au vu du fait qu’elle était titulaire de la garde, il existait un risque, au sens de l’art. 11 LAF, que le père n’utilise pas les allocations qui lui seraient versées pour l’entretien de l’enfant. Dès le moment où la garde de celui-ci lui est transférée, ce risque disparaît, tout comme les motifs justifiant le versement en mains de la mère. Dès lors, peu importe que la recourante continue à prendre en charge certains frais, comme elle l’allègue. Au demeurant, on relèvera que les frais de santé se sont avérés nuls pour la période litigieuse, de juillet à novembre 2013, que l’enfant a bénéficié pour l’année 2013 d’un subside d’assurance-maladie de CHF 100.- et qu’il n’est pas contesté que le père de l’enfant assume les frais relatifs à l’entretien et à la subsistance de son fils lorsque celui-ci se trouve chez lui. Enfin, la convention invoquée - mais non produite - par la recourante, selon laquelle le père se serait engagé à lui rétrocéder les allocations familiales ne lui est d’aucun secours puisque, d’une part, cette convention est antérieure au transfert de la garde et que, d’autre part, cela ressort des arrangements internes aux parents, dont l’intimée n’a pas à se soucier. Il ressort de ce qui précède que, depuis le transfert de la garde, les allocations familiales litigieuses auraient dû être versées directement au père de l’enfant, en sa qualité d’ayant droit prioritaire et vu la disparition du risque qu’elles soient utilisées à d’autres fins que l’entretien de B______. La recourante ne soutient d’ailleurs pas qu’un tel risque existerait.</w:t>
      </w:r>
    </w:p>
    <w:p>
      <w:r>
        <w:rPr>
          <w:b/>
        </w:rPr>
        <w:t>E. 9</w:t>
      </w:r>
    </w:p>
    <w:p>
      <w:r>
        <w:t>a) Aux termes de l'art. 25 al. 1, 1ère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w:t>
      </w:r>
    </w:p>
    <w:p>
      <w:r>
        <w:t>A/2549/2015 - 8/10 - 19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Lorsque le versement indu résulte d'une violation de l'obligation de renseigner (art. 31 LPGA et 36 LAF)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Sur le plan cantonal, l’art. 12 al. 2 LAF dispose que les allocations perçues sans droit doivent être restituées. À l’instar de l’art. 25 al. 2, 1ère phrase LPGA, le droit de demander la restitution s’éteint un an après la connaissance du fait, mais au plus tard cinq ans après le versement de la prestation, sous réserve du délai de prescription plus long du droit pénal (art. 12 al. 3 LAF). L’art. 38B al. 1 LAF précise que les décisions et les décisions sur opposition passées en force sont soumises à révision si le bénéficiaire ou les caisses, respectivement le fonds cantonal de compensation des allocations familiales, découvrent subséquemment des faits nouveaux importants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w:t>
      </w:r>
    </w:p>
    <w:p>
      <w:r>
        <w:rPr>
          <w:b/>
        </w:rPr>
        <w:t>E. 10</w:t>
      </w:r>
    </w:p>
    <w:p>
      <w:r>
        <w:t>En l’espèce, le transfert de la garde de l’enfant constituait un fait nouveau conduisant à une appréciation juridique différente, de sorte que c’est à juste titre que l’intimée a procédé à la révision des décisions d’octroi des allocations familiales qui avaient été rendues de juillet à novembre 2013 et prévoyaient le versement desdites allocation directement en mains de la recourante. En outre, en notifiant à la recourante, au mois de janvier 2014, sa décision de restitution de CHF 1’500.- au titre des allocations familiales versées à tort pour la période de juillet à novembre 2013, l’intimée a agi en temps utile. Compte tenu de ce qui précède, la décision sur opposition du 22 juin 2015 ne prête pas le flanc à la critique. Le recours doit par conséquent être rejeté, étant rappelé qu’il est loisible à la recourante de déposer une demande de remise de l’obligation</w:t>
      </w:r>
    </w:p>
    <w:p>
      <w:r>
        <w:t>A/2549/2015 - 9/10 - de restituer, sur laquelle l’intimée statuera par décision formelle une fois la décision de restitution entrée en force. La recourante, n’obtenant pas gain de cause, aucune indemnité ne peut lui être accordée à titre de participation à ses frais. Pour le surplus, la procédure est gratuite (art. 61 let. a LPGA).</w:t>
      </w:r>
    </w:p>
    <w:p>
      <w:r>
        <w:t>A/2549/2015 - 10/10 -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