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ATAS/945/2011 vom 6. Oktober 2011</w:t>
      </w:r>
    </w:p>
    <w:p>
      <w:r>
        <w:t>GE Cour de justice, 2011-10-06, FR</w:t>
      </w:r>
    </w:p>
    <w:p>
      <w:r>
        <w:rPr>
          <w:b/>
        </w:rPr>
        <w:t xml:space="preserve">Quelle: </w:t>
      </w:r>
      <w:r>
        <w:t>https://mcp.opencaselaw.ch/entscheid/ge_gerichte_ATAS_945_2011</w:t>
      </w:r>
    </w:p>
    <w:p>
      <w:r>
        <w:t>FR: GE_GERICHTE ATAS/945/2011 du 6 octobre 2011</w:t>
      </w:r>
    </w:p>
    <w:p>
      <w:r>
        <w:t>IT: GE_GERICHTE ATAS/945/2011 del 6 ottobre 2011</w:t>
      </w:r>
    </w:p>
    <w:p>
      <w:pPr>
        <w:pStyle w:val="Heading2"/>
      </w:pPr>
      <w:r>
        <w:t>Erwägungen</w:t>
      </w:r>
    </w:p>
    <w:p>
      <w:r>
        <w:rPr>
          <w:b/>
        </w:rPr>
        <w:t>E. 28</w:t>
      </w:r>
    </w:p>
    <w:p>
      <w:r>
        <w:t>Le 21 octobre 2010, l’OAI a rendu deux décisions formelles, la première portant sur la période du 1er août 2003 au 30 novembre 2005, la seconde sur la période subséquente. L’OAI a précisé que sa décision de ne pas accorder de mesures de réadaptation était fondée exclusivement sur des critères subjectifs dont l’appréciation lui appartenait dans le cadre de son pouvoir discrétionnaire. Il avait tenu compte l’âge de l’assurée dans son évaluation globale. En revanche, le manque de formation et l’absence d’exercice d’une activité lucrative durant les dernières années, pour des motifs étrangers à l’invalidité, n’avaient pas à être pris en considération dans le cadre de la déduction sur le revenu d’invalide.</w:t>
      </w:r>
    </w:p>
    <w:p>
      <w:r>
        <w:rPr>
          <w:b/>
        </w:rPr>
        <w:t>E. 29</w:t>
      </w:r>
    </w:p>
    <w:p>
      <w:r>
        <w:t>Par acte du 23 novembre 2010, l’assurée a interjeté recours auprès du Tribunal cantonal des assurances sociales - alors compétent - en concluant, sous suite de dépens, à l’octroi d’une rente entière d’invalidité dès le 1er août 2003. La recourante fait grief à l’intimé effectué ses calculs en considérant trois périodes (celle du 1er août 2003 au 30 novembre 2005, celle du 1er décembre 2005 au 30 septembre 2006 et la période postérieure) ne correspondant ni aux améliorations de l’état de santé admises (août 2005 et juin 2006), ni à celles retenues par les experts. Quant au revenu d’invalide, l’assurée soutient qu’au vu des limitations fonctionnelles décrites par les experts, seule une activité à 50% pourrait être exigée de sa part, ce qui, après application d’un abattement supplémentaire de 25% pour tenir compte de son âge et de la durée de son incapacité de travail, devrait conduire à un degré d’invalidité de 71% ouvrant droit à une rente entière dès le 1er août 2003.</w:t>
      </w:r>
    </w:p>
    <w:p>
      <w:r>
        <w:rPr>
          <w:b/>
        </w:rPr>
        <w:t>E. 30</w:t>
      </w:r>
    </w:p>
    <w:p>
      <w:r>
        <w:t>Invité à se déterminer, l’intimé, dans sa réponse du 21 décembre 2010, a conclu au rejet du recours. L’intimé relève que les experts de la CRR ont retenu sur le plan psychique, une diminution de la capacité de travail de 30 à 40% de 2005 jusqu’en juin 2006 (moment à partir duquel la psychologue a constaté une évaluation favorable) et, sur le plan physique, une capacité de travail de 100% dans une activité adaptée - à tout le moins depuis juin 2006. Étant donné que la capacité de travail a été nulle jusqu’en juillet 2005, de 60% dans une activité adaptée dès août 2005, puis de 100% dès juin 2006, il y a bien lieu d’examiner trois périodes distinctes. Quant au calcul de comparaison des revenus, l’intimé a renvoyé à sa note de travail du 24 mars 2010.</w:t>
      </w:r>
    </w:p>
    <w:p>
      <w:r>
        <w:t>A/4021/2010 - 10/20 -</w:t>
      </w:r>
    </w:p>
    <w:p>
      <w:r>
        <w:rPr>
          <w:b/>
        </w:rPr>
        <w:t>E. 31</w:t>
      </w:r>
    </w:p>
    <w:p>
      <w:r>
        <w:t>Le 6 janvier 2011, la Chambre des assurances sociales de la Cour de justice, désormais compétente, a transmis cette écriture à la recourante et a accordé à cette dernière un délai pour prendre connaissance des pièces, faire part de ses remarques et produire toute pièce utile.</w:t>
      </w:r>
    </w:p>
    <w:p>
      <w:r>
        <w:rPr>
          <w:b/>
        </w:rPr>
        <w:t>E. 32</w:t>
      </w:r>
    </w:p>
    <w:p>
      <w:r>
        <w:t>A l’issue de ce délai, la cause a été gardée à juger.</w:t>
      </w:r>
    </w:p>
    <w:p>
      <w:r>
        <w:t>EN DROIT 1.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 2. La LPGA, entrée en vigueur le 1er janvier 2003, et les modifications de la loi fédérale sur l'assurance-invalidité du 21 mars 2003 (4ème révision) et du 6 octobre 2006 (5ème révision), entrées en vigueur le 1er janvier 2004, respectivement, le 1er janvier 2008, entraînent la modification de nombreuses dispositions légales dans le domaine de l'assurance-invalidité.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112 V 360 consid. 4a; RAMA 1998 KV 37 p. 316 consid. 3b). En l'espèce, la LPGA est applicable puisque la demande de prestations est postérieure à son entrée en vigueur. Du point de vue matériel, le droit à une rente</w:t>
      </w:r>
    </w:p>
    <w:p>
      <w:r>
        <w:t>A/4021/2010 - 11/20 - d'invalidité doit être examiné au regard des modifications de la LAI, à partir du 1er janvier 2004 et du 1er janvier 2008,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3. Le délai de recours est de 30 jours (art. 60 al. 1 LPGA). Interjeté dans la forme et le délai prévus par la loi, le recours est recevable, en vertu des art. 56ss LPGA. 4. Le litige porte sur la question de savoir si la rente entière accordée à l’assurée à compter du mois d’août 2003 peut être maintenue au-delà du 30 novembre 2005. 5. Selon la jurisprudence, une décision par laquelle l'assurance-invalidité accorde une rente d'invalidité avec effet rétroactif et, en même temps, prévoit la réduction ou l'augmentation de cette rente, correspond à une décision de révision au sens de l'art. 41 LAI (ATF 125 V 417 consid. 2d et les références; VSI 2001 p. 157 consid. 2), respectivement 17 LPGA.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ATFA non publié I 520/05 du 28 décembre 2006, consid 3.2). En cas d'allocation d'une rente dégressive ou temporaire, la date de la modification du droit (diminution ou suppression de la rente) doit être fixée conformément à l'art. 88a al. 1 RAI (ATF 125 V 417 consid. 2d; RCC 1984 p. 137). Selon cette disposition, si la capacité de gain d'un assuré ou sa capacité d'accomplir ses travaux habituels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6.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w:t>
      </w:r>
    </w:p>
    <w:p>
      <w:r>
        <w:t>A/4021/2010 - 12/20 -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7. Selon la jurisprudence, les troubles somatoformes douloureux n'entraînent pas, en règle générale, une limitation de longue durée de la capacité de travail pouvant conduire à une invalidité (ATF 130 V 352 consid. 2.2.3). Il existe une présomption que les troubles somatoformes douloureux ou leurs effets peuvent être surmontés par un effort de volonté raisonnablement exigible (ATF 131 V 49 consid. 1.2). Le Tribunal fédéral des assurances a toutefois reconnu qu'il existe des facteurs déterminés qui, par leur intensité et leur constance, rendent la personne incapable de fournir cet effort de volonté, et a établi des critères permettant d'apprécier le caractère invalidant de troubles somatoformes douloureux (cf. ATF 130 V 352 consid. 2.2.3 et 131 V 49 consid. 1.2.). A cet égard, on retiendra, au premier plan, la présence d'une comorbidité psychiatrique importante par sa gravité, son acuité et sa durée. Les états dépressifs ne constituent en principe pas une comorbidité psychiatrique grave et durable à un trouble somatoforme douloureux, dans la mesure où ils ne sont en règle générale qu'une manifestation réactive ne devant pas faire l'objet d'un diagnostic séparé (ATFA non publié I 497/04 du 12 septembre 2005, consid. 5.1). Peut constituer une telle comorbidité un état dépressif majeur (ATF 132 V 65 consid. 4.2.2).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w:t>
      </w:r>
    </w:p>
    <w:p>
      <w:r>
        <w:t>A/4021/2010 - 13/20 - défectueux de résolution du conflit, mais apportant un soulagement du point de vue psychique (profit primaire tiré de la maladie, fuite dans la maladie; ATF 132 V 65 consid. 4.2.2). Les principes jurisprudentiels développés en matière de troubles somatoformes douloureux sont également applicables à la fibromyalgie (ATF 132 V 65, consid. 4.1) au syndrome de fatigue chronique (ATF non publié 9C_662/2009 du 17 août 2010, consid. 2.3), de neurasthénie (ATFA non publié I 70/07 du 14 avril 2008, consid. 5), d'anesthésie dissociative et d'atteintes sensorielles (ATFA non publié I 9/07 du 9 février 2007, consid. 4) ainsi qu'en matière de troubles moteurs dissociatifs (ATF non publié 9C_903/2007 du 30 avril 2008, consid. 3.4) et de traumatisme du type « coup du lapin » (ATF 136 V 279, consid. 3.2.3).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(ATF 130 V 352 consid. 2.2.2; ATFA non publié I 421/06 du 6 novembre 2007, consid. 3.1). 8.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 que la mise en valeur de sa capacité de travail sur le marché du travail ne peut plus du tout ou seulement partiellement être exigible de sa part (ATF 132 V 65 consid. 4.3).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w:t>
      </w:r>
    </w:p>
    <w:p>
      <w:r>
        <w:t>A/4021/2010 - 14/20 -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9. En l’espèce, les experts de la CRR ont pris leurs conclusions sur la base d’un dossier complet, d’une anamnèse détaillée, d’un examen clinique et des plaintes de la recourante. Par conséquent, leur expertise remplit les conditions formelles posées par la jurisprudence concernant la valeur probante d’une expertise. En revanche, les conclusions des experts (capacité de travail de 100% dans une activité adaptée dès juin 2006 au moins en lien avec les troubles lombaires) ne sont pas compréhensibles sans se référer à leurs explications. Ainsi, sur la base des</w:t>
      </w:r>
    </w:p>
    <w:p>
      <w:r>
        <w:t>A/4021/2010 - 15/20 - appréciations du rhumatologue traitant et des médecins des HUG, les experts retiennent une totale incapacité de travail dans toute activité en raison des troubles lombaires à partir du 21 août 2002 et jusqu’à la fin de la convalescence consécutive à la cure de hernie discale, soit jusqu’à fin mars 2005. Même si, dès février 2006, l’imagerie radiologique a mis en évidence une discopathie L5-S1, ils n’admettent plus d’incapacité de travail dans une activité adaptée. Ils motivent leur position par la très faible corrélation existant en général entre les images radiologiques de discopathies lombaires et une symptomatologie douloureuse lombaire voire lombosciatalgique à moins qu’il existe des signes neurologiques irritatifs ou déficitaires clairs, ce qui n’est pas le cas de la recourante, puisque l’examen électroclinique pratiqué par le Dr J____________ en date du 18 novembre 2009 n’a pas mis en évidence de tels signes. Qui plus est, selon l’expert, la description des douleurs et l’ensemble de la présentation clinique ne correspondent pas à un syndrome radiculaire lombo-sacré. A partir d’avril 2005, les experts admettent une incapacité de travail de 30 à 40% dans une activité adaptée en lien avec l’état dépressif constaté en mai 2005 par l’expert psychiatre du CEMED jusqu’à l’évolution favorable mise en évidence par la psychologue en juin 2006. Au vu de cette amélioration, ils concluent à une capacité de travail entière dans une activité adaptée dès juin 2006. Les explications des experts s’agissant de la capacité de travail retenue sont convaincantes et cohérentes en tant qu’elles reposent sur des éléments objectifs. De plus, ils précisent que le diagnostic de fibromyalgie est posé lorsqu’il n’y a pas de corrélation entre les lésions organiques et les plaintes du patient alors qu’il existe des discordances entre les données subjectives et les constatations objectives. La recourante ne s’estime pas en mesure de travailler à plus de 50% en raison des douleurs qu’elle ressent et se réfère aux conclusions de l’expertise du CEMED. Or, dans son arrêt du 29 mai 2009, le TCAS a nié toute valeur probante à ce rapport ; il a en effet constaté que les experts ne distinguaient pas les troubles lombaires des troubles douloureux dans leur appréciation de la capacité de travail. Par conséquent, ni le rapport du CEMED, ni les rapports du Dr A____________ - qui n’opèrent pas davantage la distinction - ne suffisent à jeter le doute sur la pertinence des conclusions des experts de la CRR dont le rapport remplit ainsi les conditions matérielles permettant de lui reconnaître une pleine valeur probante. En conséquence, la Cour de céans suivra les conclusions des experts de la CRR et l’appréciation de la Dresse K____________ qui admet une capacité de travail de 60% à partir d’août 2005. Dans la mesure où il n’appartient pas au juge de s’écarter de cette appréciation médicale, il y a lieu de retenir une incapacité de travail entière à partir d’août 2002 jusqu’au 31 juillet 2005, puis de 40% du 1er août 2005 au 31 mai 2006 dans une activité adaptée.</w:t>
      </w:r>
    </w:p>
    <w:p>
      <w:r>
        <w:t>A/4021/2010 - 16/20 - Étant donné que les experts ne retiennent aucune incapacité de travail en lien avec la fibromyalgie, il n’y a pas lieu d’examiner si la situation de la recourante remplit les critères jurisprudentiels permettant de reconnaître que la fibromyalgie ou ses effets ne peuvent pas être surmontés par un effort de volonté raisonnablement exigible. Quoi qu’il en soit, on relèvera que l’assurée ne souffre d’aucune comorbidité grave, que son état psychique s’est amélioré grâce au traitement prodigué par une psychologue - traitement auquel il a été mis un terme après amélioration - et qu’elle ne subit pas de perte d’intégration sociale puisqu’elle a repris le travail à raison d’un jour par semaine. Reste à vérifier le calcul du degré d’invalidité auquel s’est livré l’intimé. 10.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w:t>
      </w:r>
    </w:p>
    <w:p>
      <w:r>
        <w:t>A/4021/2010 - 17/20 - (ATFA non publiés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123 V 150 consid. 2 et les références; ATF non publié 8C_337/2009 du 18 février 2010, consid. 7.5). 11. a) Il n’est pas contesté que la recourante a été durant un temps dans l’incapacité totale de travailler et qu’elle doit se voir reconnaitre le droit à une rente entière du 1er août 2003 au 31 juillet 2005. Seul le calcul du taux d’invalidité pour la période subséquente reste donc litigieux. La recourante conteste la quotité de la réduction appliquée au revenu d’invalide. Selon elle, cette réduction devrait être de 25 % (et non de 15%), ceci afin de tenir compte de son âge et de la durée de son incapacité de travail. On relèvera que l’intimé a calculé le degré d’invalidité en procédant à une comparaison des revenus en 2005 ce qui est correct pour la rente allouée à compter du 1er novembre 2005.</w:t>
      </w:r>
    </w:p>
    <w:p>
      <w:r>
        <w:t>A/4021/2010 - 18/20 - En l’espèce, la recourante était âgée de 45 ans en 2005, respectivement de 46 ans en 2006 et était donc considérée comme encore jeune (cf. ATFA non publié I 471/05 du 11 mai 2006, consid. 3.2). La réduction de 15 % appliquée par l’intimé n’apparait donc pas critiquable. Elle tient compte de manière appropriée des effets de l’absence prolongée de l’assurée du marché du travail et de ses limitations fonctionnelles (cf. ATF non publié 9C_673/2010 du 31 mars 2011, consid. 4.1 et 4.2). Dès lors, que les limitations fonctionnelles de l’assurée ont ainsi été prises en compte à ce stade, il n’y a pas lieu de réduire la capacité de travail retenue par les experts de la CRR, lesquels n’ont admis aucune diminution de rendement. b) S’agissant de la période d’août 2005 à mai 2006, l’intimé s’est basé sur un revenu sans invalidité de 60’000 fr. en 2001 qu’il a actualisé à 63’768 fr. en 2005 au moyen de l’indice suisse des salaires nominaux. Le revenu sans invalidité ne prêtant pas à discussion, il n’est pas nécessaire d’y revenir. S’agissant du revenu d’invalide, l’intimé a pris en compte - à juste titre - le salaire qu’une femme exerçant une activité de niveau 4 dans le secteur privé, toutes activités confondues, aurait obtenu selon les statistiques 2004, soit 46’716 fr. (3’893 x 12), correspondant, pour un taux d’activité de 60%, à 28’029 fr. 60 (46’716 x 60%). En effet, la recourante n'ayant pas mis en pratique sa capacité résiduelle de gain de 60% dans une activité adaptée, il convient de se référer aux données de l'ESS et, compte tenu de l'activité de substitution dans un emploi adapté, à savoir un travail léger et favorisant l'alternance des positions, le salaire de référence est celui auquel peuvent prétendre les femmes effectuant des activités simples et répétitives dans le secteur privé, toutes activités confondues. Puis, il y a lieu d’adapter ce résultat à l’évolution des salaires nominaux pour les femmes en 2005 (1.1%), ce qui le porte à 28’337 fr. 90. Étant donné que les salaires bruts standardisés sont fondés sur un horaire de travail de quarante heures (ATF 129 V 410 consid. 3.1.2), le revenu statistique doit encore être adapté à l'horaire de travail en 2005 (41.7 h./sem. ; cf. OFS, durée normale de travail dans les entreprises), ce qui conduit à un montant de 29’542 fr. 25 (28’337.90 x 41.7 : 40). Après abattement de 15%, le revenu d’invalide ascende à 25’111 fr. (29’542.25 x 85%), qui, comparé au revenu avant invalidité, correspond à un degré d’invalidité de 61% (63’768 - 25’111 : 63’768 x 100) ouvrant droit à un trois-quarts de rente d'invalidité. La capacité résiduelle de travail de la recourante ayant passé de 0% à 60% dès le 1er août 2005 et jusqu’au 31 mai 2006, à la suite d’une modification sensible de son état de santé lombaire, il y a lieu de tenir compte de cette amélioration trois mois après son début, conformément à l’art. 88a al. 1 RAI, soit dès le 1er novembre 2005. c) A compter du 1er juin 2006, les experts ont jugé que la recourante avait recouvré une pleine capacité de travail dans une activité adaptée de sorte qu’il convient de</w:t>
      </w:r>
    </w:p>
    <w:p>
      <w:r>
        <w:t>A/4021/2010 - 19/20 - procéder à un nouveau calcul du degré d’invalidité en se référant, pour procéder à la comparaison de revenus, aux chiffres de l’année 2006. Le revenu sans invalidité de 63’768 fr. en 2005 doit ainsi être adapté à l’évolution des salaires en 2006 (1% dans le secteur de l’hôtellerie-restauration), ce qui conduit à un montant de 64’405 fr. 70. Quant au revenu d’invalide, selon l’ESS 2006, il est de 48’228 fr. pour une femme exerçant une activité de niveau 4 dans le secteur privé, toutes activités confondues (4’019 x 12). Après adaptation à l'horaire de travail en 2006 (41.7 h./sem. : 48’228 x 41.7 : 40) et abattement de 15%, le revenu d’invalide s’établit à 42'736 fr. 05 (50'277.70 x 85%), ce qui, comparé au revenu avant invalidité, correspond à un degré d’invalidité de 34% (64’405.70 - 42’736.05 : 64’405.70 x 100), insuffisant pour ouvrir droit à une rente. En application de l’art. 88a al. 1 RAI, ce changement dû à une modification sensible de l’état de santé psychique de la recourante prend effet au plus tôt trois mois plus tard, c'est-à-dire dès le 1er septembre 2006. On relèvera que l’intimé n’a tenu compte de ce changement qu’à partir du 1er octobre 2006. 12. Au vu de ce qui précède, le recours sera rejeté. Etant donné que depuis le 1er juillet 2006, la procédure n'est plus gratuite (art. 69 al. 1bis LAI), il y a lieu de condamner la recourante au paiement d'un émolument de 200 fr.</w:t>
      </w:r>
    </w:p>
    <w:p>
      <w:r>
        <w:t>A/4021/2010 - 20/20 -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