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ATAS/944/2015 vom 10. Dezember 2013</w:t>
      </w:r>
    </w:p>
    <w:p>
      <w:r>
        <w:t>GE Cour de justice, 2013-12-10, FR</w:t>
      </w:r>
    </w:p>
    <w:p>
      <w:r>
        <w:rPr>
          <w:b/>
        </w:rPr>
        <w:t xml:space="preserve">Quelle: </w:t>
      </w:r>
      <w:r>
        <w:t>https://mcp.opencaselaw.ch/entscheid/ge_gerichte_ATAS_944_2015</w:t>
      </w:r>
    </w:p>
    <w:p>
      <w:r>
        <w:t>FR: GE_GERICHTE ATAS/944/2015 du 10 décembre 2013</w:t>
      </w:r>
    </w:p>
    <w:p>
      <w:r>
        <w:t>IT: GE_GERICHTE ATAS/944/2015 del 10 dicembre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w:t>
      </w:r>
    </w:p>
    <w:p>
      <w:r>
        <w:t>A/1647/2014 - 5/7 -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 Il en va de même en matière de prestations complémentaires cantonales (cf. art. 1A let. b LPCC).</w:t>
      </w:r>
    </w:p>
    <w:p>
      <w:r>
        <w:rPr>
          <w:b/>
        </w:rPr>
        <w:t>E. 3</w:t>
      </w:r>
    </w:p>
    <w:p>
      <w:r>
        <w:t>A teneur de l'art. 89I al. 2 et 3 de la loi sur la procédure administrative du 12 septembre 1985 (LPA - E 5 10), l'art. 61 let. i LPGA est applicable pour les causes visées à l'art. 134 al. 1 LOJ et l'art. 80 LPA pour les causes visées à l'art. 134 al. 3 LOJ. Cependant, la LPGA renvoyant au droit cantonal s'agissant de la procédure devant le tribunal cantonal des assurances, il convient d'appliquer l'art.80 LPA dans toutes les hypothèses. 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w:t>
      </w:r>
    </w:p>
    <w:p>
      <w:r>
        <w:rPr>
          <w:b/>
        </w:rPr>
        <w:t>E. 4</w:t>
      </w:r>
    </w:p>
    <w:p>
      <w:r>
        <w:t>La notion de faits ou moyens de preuve nouveaux s'apprécie de la même manière en cas de révision (procédurale) d'une décision administrative (art. 53 al. 1 LPGA), de révision d'un jugement cantonal (art. 61 let. i LPGA) ou de révision d'un arrêt fondée sur l'art. 137 let. b OJ (actuellement art. 123 al. 2 let a LTF ; ATF du 7 février 2007, U 57/06, consid. 3.1). Sont nouveaux au sens de cette disposition les faits qui n’étaient pas connus du requérant, malgré toute sa diligence, et qui se sont produits tant que, dans la procédure principale, des allégations de faits étaient encore recevables (ATF du</w:t>
      </w:r>
    </w:p>
    <w:p>
      <w:r>
        <w:rPr>
          <w:b/>
        </w:rPr>
        <w:t>E. 6</w:t>
      </w:r>
    </w:p>
    <w:p>
      <w:r>
        <w:t>Oktober 2000, Zurich 2003, n. 13 ad art. 53).</w:t>
      </w:r>
    </w:p>
    <w:p>
      <w:r>
        <w:t>A/1647/2014 - 6/7 -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353 consid. 5b et les références). 5. En l’espèce, les griefs des demandeurs en révision apparaissent pour le moins confus. La plupart consistent à revenir sur l’argumentation déjà développée dans leur recours et ne constituent ainsi pas un motif de révision (par ex. les prétendues violations de dispositions légales). D’autres concernent la procédure ayant mené à l’arrêt du 3 août 2015, sur laquelle il n’y a pas non plus lieu de revenir (par ex. l’appel en cause du SPMi. D’autres portent sur les faits retenus dans l’arrêt critiqué et ne constituent donc pas non plus un motif de révision (demande de suppression de « tous faits inutiles à la solution du litige, remplacement de certains termes par d’autres, etc.). D’autres, enfin, sont manifestement irrecevables en tant qu’ils consistent à faire constater par la Cour de céans les « dysfonctionnements de la CAFNA et du SPMi ». En définitive, force est de constater que les demandeurs en révision ne font valoir aucun motif de révision valable. Ils ne démontrent pas qu’un crime ou un délit, établi par une procédure pénale ou d'une autre manière, aurait influencé la décision, ne font valoir aucun fait ou moyen de preuve nouveau important qu’ils n’auraient pu invoquer dans la procédure précédente, n’établissent pas que l’arrêt critiqué ne tiendrait pas compte de faits invoqués et établis par pièces, pas plus que l’existence d’un déni de justice formel. Enfin, il n’apparaît pas que la juridiction aurait été composée de manière non conforme à la loi ou en violation des dispositions sur la récusation. Eu égard à ce qui précède, la demande en révision doit donc être rejetée comme manifestement infondée dans la mesure où elle est recevable.</w:t>
      </w:r>
    </w:p>
    <w:p>
      <w:r>
        <w:t>A/1647/2014 - 7/7 -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