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ATAS/943/2011 vom 12. Mai 2011</w:t>
      </w:r>
    </w:p>
    <w:p>
      <w:r>
        <w:t>GE Cour de justice, 2011-05-12, FR</w:t>
      </w:r>
    </w:p>
    <w:p>
      <w:r>
        <w:rPr>
          <w:b/>
        </w:rPr>
        <w:t xml:space="preserve">Quelle: </w:t>
      </w:r>
      <w:r>
        <w:t>https://mcp.opencaselaw.ch/entscheid/ge_gerichte_ATAS_943_2011</w:t>
      </w:r>
    </w:p>
    <w:p>
      <w:r>
        <w:t>FR: GE_GERICHTE ATAS/943/2011 du 12 mai 2011</w:t>
      </w:r>
    </w:p>
    <w:p>
      <w:r>
        <w:t>IT: GE_GERICHTE ATAS/943/2011 del 12 maggio 2011</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w:t>
      </w:r>
    </w:p>
    <w:p>
      <w:r>
        <w:rPr>
          <w:b/>
        </w:rPr>
        <w:t>E. 3</w:t>
      </w:r>
    </w:p>
    <w:p>
      <w:r>
        <w:t>Lorsqu'un cas de prévoyance est déjà survenu pour l'un des époux, le partage de la prestation de sortie ne peut être effectué par la caisse de prévoyance au sens de l'art. 141 CC (ATF 133 V 288 consid. 4.2 p. 292).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Une indemnité équitable est due lorsqu'un cas de prévoyance est survenu pour l'un des époux ou pour les deux ou que les prétentions en matière de prévoyance professionnelle acquises durant le mariage ne peuvent être partagées pour d'autres motifs (art. 124 al. 1 CC). Par survenance d'un cas de prévoyance, il faut entendre la naissance d'un droit concret à des prestations de prévoyance professionnelle (arrêt du Tribunal fédéral B 19/03 du 30 janvier 2004 consid. 5.1). Aux termes de l'art. 26 al. 2 LPP, l'institution de prévoyance peut en outre prévoir que le droit aux prestations est différé aussi longtemps que l'assuré reçoit un salaire entier. Cette règle a pour but d'éviter que l'assuré - parce qu'il perçoit son salaire ou des prestations qui, s'y</w:t>
      </w:r>
    </w:p>
    <w:p>
      <w:r>
        <w:t>A/2216/2011 - 4/5 - substituant, libèrent l'employeur de le verser - ne dispose de moyens financiers plus importants après qu'avant la survenance de l'invalidité. Toutefois la prétention à une pension d'invalidité peut uniquement être différée si les dispositions réglementaires de l'institution de prévoyance le prévoient expressément (ATF 128 V 243 consid. 2b p. 247; 123 V 193 consid. 5c/cc p. 199 et les références). Tant que l'assuré dispose encore du droit au paiement du salaire, un cas de prévoyance n'est pas survenu (Arrêt du Tribunal fédéral 9C_899/2007 et 9C_900/2007 du 28 mars 2008 consid.6.3). Le moment déterminant pour décider si un cas de prévoyance est survenu est l'entrée en force du prononcé de divorce (ATF 132 III 401). Le juge du divorce peut tenir compte du fait qu'un cas de prévoyance est prévisible. Cependant, si un cas de prévoyance survient par la suite, ce fait ne constitue pas un motif de reconsidération du jugement, même si l'institution de prévoyance a déjà versé une rente calculée sur la base de la prestation de sortie non partagée (ATF 132 III 401 consid. 2.2 p. 404 s.).</w:t>
      </w:r>
    </w:p>
    <w:p>
      <w:r>
        <w:rPr>
          <w:b/>
        </w:rPr>
        <w:t>E. 4</w:t>
      </w:r>
    </w:p>
    <w:p>
      <w:r>
        <w:t>Le Tribunal Fédéral estime que le Tribunal des assurances sociales doit suspendre la procédure d'exécution du partage si le droit aux prestations d'invalidité naît à une date rétroactive, avant l'entrée en force du jugement de divorce, ou s'il est vraisemblable qu'un tel droit à une rente naisse rétroactivement (ATF 9C_899/2007 du 28 mars 2008).</w:t>
      </w:r>
    </w:p>
    <w:p>
      <w:r>
        <w:rPr>
          <w:b/>
        </w:rPr>
        <w:t>E. 5</w:t>
      </w:r>
    </w:p>
    <w:p>
      <w:r>
        <w:t>L'art 38 du règlement de prévoyance de la CIEPP stipule que la Caisse diffère le droit aux prestations d'invalidité aussi longtemps que le salaire est versé ou jusqu'à épuisement des indemnités journalières.</w:t>
      </w:r>
    </w:p>
    <w:p>
      <w:r>
        <w:rPr>
          <w:b/>
        </w:rPr>
        <w:t>E. 6</w:t>
      </w:r>
    </w:p>
    <w:p>
      <w:r>
        <w:t>En l’espèce, la demanderesse a déposé une demande de prestations d'invalidité en février 2009 et conclut à l'octroi d'une demi-rente d'invalidité. Aucune décision définitive n'a encore été rendue par l'OAI à ce sujet, mais si un droit à une rente est reconnu, il est vraisemblable qu'il rétroagisse au 1er août 2009, soit 6 mois après le dépôt de la demande, l'incapacité de travail remontant au 6 juin 2008. Dans cette hypothèse, la CIEPP sera tenue au versement d'une rente d'invalidité fondée sur le taux d'invalidité retenu par l'OAI ou la Cour de céans sur recours et ce avec un effet rétroactif antérieur au prononcé définitif du divorce, dès lors que la demanderesse ne perçoit plus d'indemnités journalières, ni salaire depuis juin 2010.</w:t>
      </w:r>
    </w:p>
    <w:p>
      <w:r>
        <w:rPr>
          <w:b/>
        </w:rPr>
        <w:t>E. 7</w:t>
      </w:r>
    </w:p>
    <w:p>
      <w:r>
        <w:t>Il convient donc de suspendre la présente cause dans l'attente d'une décision définitive concernant le droit de l'assurée à une rente d'invalidité de l'OAI et, partant, de la CIEPP.</w:t>
      </w:r>
    </w:p>
    <w:p>
      <w:r>
        <w:t>A/2216/2011 - 5/5 -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