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ATAS/942/2023 vom 5. Dezember 2023</w:t>
      </w:r>
    </w:p>
    <w:p>
      <w:r>
        <w:t>GE Cour de justice, 2023-12-05, FR</w:t>
      </w:r>
    </w:p>
    <w:p>
      <w:r>
        <w:rPr>
          <w:b/>
        </w:rPr>
        <w:t xml:space="preserve">Quelle: </w:t>
      </w:r>
      <w:r>
        <w:t>https://mcp.opencaselaw.ch/entscheid/ge_gerichte_ATAS_942_2023</w:t>
      </w:r>
    </w:p>
    <w:p>
      <w:r>
        <w:t>FR: GE_GERICHTE ATAS/942/2023 du 5 décembre 2023</w:t>
      </w:r>
    </w:p>
    <w:p>
      <w:r>
        <w:t>IT: GE_GERICHTE ATAS/942/2023 del 5 dicembre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A/2728/2022 - 11/25 -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(ci-après : AI),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30 jours (art. 60 al. 1 LPGA ; art. 62 al. 1 LPA). Datée du 23 juin 2022 mais postée le 27 juin 2022, la décision litigieuse a été notifiée au plus tôt le 28 juin 2022 à la recourante. Interjeté dans la forme et le délai prévus par la loi, compte tenu de la suspension des délais pour la période du 15 juillet au 15 août inclusivement (art. 38 al. 4 let. b LPGA et art. 89C let. b LPA), le recours est recevable.</w:t>
      </w:r>
    </w:p>
    <w:p>
      <w:r>
        <w:rPr>
          <w:b/>
        </w:rPr>
        <w:t>E. 2</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rPr>
          <w:b/>
        </w:rPr>
        <w:t>E. 3</w:t>
      </w:r>
    </w:p>
    <w:p>
      <w:r>
        <w:t>Par un moyen de nature formelle qu’il convient d’examiner en premier lieu, la recourante se plaint d’une notification irrégulière de la décision litigieuse (ci- après : consid. 3.1) et d’une violation de son droit d’être entendu (art. 29 al. 2 de la Constitution suisse du 18 avril 1999 (Cst. – RS 101) dans la mesure où cette décision serait entachée d’un défaut de motivation. En particulier, elle reproche à l’intimé d’avoir privilégié à tort les expertises réalisées à la demande d’Allianz au détriment des rapports des médecins traitants (ci-après : consid. 3.2).</w:t>
      </w:r>
    </w:p>
    <w:p>
      <w:r>
        <w:rPr>
          <w:b/>
        </w:rPr>
        <w:t>E. 3.1</w:t>
      </w:r>
    </w:p>
    <w:p>
      <w:r>
        <w:t>; VSI 2001 p. 223 consid. 2b ; arrêt du Tribunal fédéral I 786/04 du 19 janvier 2006 consid. 3.1). 6.2.1 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Statistical Manual ; ATF 143 V 409 consid. 4.5.2 ; 141 V 281 consid. 2.1 et 2.1.1 ; 130 V 396 consid. 5.3 et 6). 6.2.2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w:t>
      </w:r>
    </w:p>
    <w:p>
      <w:r>
        <w:t>A/2728/2022 - 16/25 -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 6.2.3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6.2.4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w:t>
      </w:r>
    </w:p>
    <w:p>
      <w:r>
        <w:rPr>
          <w:b/>
        </w:rPr>
        <w:t>E. 3.2</w:t>
      </w:r>
    </w:p>
    <w:p>
      <w:r>
        <w:t>Dans un second moyen, la recourante fait valoir que même si la « décision » du 1er novembre 2021 lui a été valablement notifiée par pli du 27 juin 2022 (en annexe de la décision du 23 juin 2022), il y aurait lieu de constater que la décision litigieuse violerait son droit d’être entendue.</w:t>
      </w:r>
    </w:p>
    <w:p>
      <w:r>
        <w:rPr>
          <w:b/>
        </w:rPr>
        <w:t>E. 3.2.1</w:t>
      </w:r>
    </w:p>
    <w:p>
      <w:r>
        <w:t>Le droit d’être entendu garanti par l’art. 29 al. 2 Cst. comprend notamment le devoir pour l’autorité de motiver sa décision, afin que le destinataire puisse la</w:t>
      </w:r>
    </w:p>
    <w:p>
      <w:r>
        <w:t>A/2728/2022 - 13/25 -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arrêt du Tribunal fédéral 8C_414/2015 du 29 mars 2016 consid. 2.3).</w:t>
      </w:r>
    </w:p>
    <w:p>
      <w:r>
        <w:rPr>
          <w:b/>
        </w:rPr>
        <w:t>E. 3.2.2</w:t>
      </w:r>
    </w:p>
    <w:p>
      <w:r>
        <w:t>En l’occurrence, la violation du droit d’être entendu dans le sens invoqué par la recourante est une question qui n’a pas de portée propre par rapport au grief tiré d’une mauvaise appréciation des preuves (cf. arrêt du Tribunal fédéral 9C_449/2007 du 28 juillet 2008 consid. 2.1). L’administration ou le juge peuvent en effet renoncer à accomplir certains actes d’instruction, sans que cela n’entraîne une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(cf. ci-après : consid. 10) – ne viole pas le droit d’être entendu selon l’art. 29 al. 2 Cst. (cf. arrêt du Tribunal fédéral des assurances I 157/04 du 22 décembre 2004 consid. 1.2). Aussi le grief tiré d’une violation de ce droit ne peut-il être que rejeté. Il s’ensuit qu’il y a lieu de se pencher sur le fond du litige.</w:t>
      </w:r>
    </w:p>
    <w:p>
      <w:r>
        <w:rPr>
          <w:b/>
        </w:rPr>
        <w:t>E. 4</w:t>
      </w:r>
    </w:p>
    <w:p>
      <w:r>
        <w:t>Le litige porte sur le point de savoir si la recourante a droit à une rente d’invalidité au-delà du 30 juin 2021.</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L’art. 17 al. 1 LPGA dispose que si le taux d’invalidité du bénéficiaire de la rente subit une modification notable, la rente est, d’office ou sur demande, révisée pour l’avenir, à savoir augmentée ou réduite en conséquence, ou encore supprimée.</w:t>
      </w:r>
    </w:p>
    <w:p>
      <w:r>
        <w:t>A/2728/2022 - 14/25 -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w:t>
      </w:r>
    </w:p>
    <w:p>
      <w:r>
        <w:rPr>
          <w:b/>
        </w:rPr>
        <w:t>E. 9</w:t>
      </w:r>
    </w:p>
    <w:p>
      <w:r>
        <w:t>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(art. 88a al. 1 RAI) ; on attendra en revanche trois mois au cas où le caractère évolutif de l’atteinte à la santé, notamment la possibilité d’une aggravation, ne permettrait pas un jugement immédiat (phr. 2 de la disposition ;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w:t>
      </w:r>
    </w:p>
    <w:p>
      <w:r>
        <w:t>A/2728/2022 - 15/25 - consid. 4.1). L’OAI doit réduire ou supprimer la rente avec effet à la fin du mois au cours duquel le délai de trois mois a expiré (voir arrêt du Tribunal fédéral 9C_900/2013 du 8 avril 2014 consid. 6.5 dans le même sens). 6.</w:t>
      </w:r>
    </w:p>
    <w:p>
      <w:r>
        <w:t>6.1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 cf. aussi ci-dessus : consid. 8.3.4). 10.</w:t>
      </w:r>
    </w:p>
    <w:p>
      <w:r>
        <w:t>10.1 En l’espèce, la recourante conteste en substance la suppression de sa rente au 30 juin 2021 en faisant valoir que le recouvrement de sa capacité de travail n’était alors que partiel (50%) et que ce taux d’incapacité de travail n’a plus varié à ce jour selon les rapports et certificats de sa psychiatre traitante, la Dre C______. L’intimé se fonde quant à lui sur le rapport du 3 septembre 2021 du SMR – faisant siennes les expertises des Drs E______ et F______ réalisées sur mandat d’Allianz – pour justifier sa décision. Il n’est ni contesté, ni contestable qu’à l’issue du délai d’attente d’un an, soit en janvier 2021, la recourante était dans l’incapacité totale d’exercer la moindre activité, ce qui lui ouvre droit à une rente entière à partir du 1er janvier 2021. Dans la mesure où la recourante conteste les conclusions des experts précités au motif qu’elles sont contredites par la Dre C______, il convient tout d’abord d’examiner la valeur probante des rapports d’expertise psychiatrique des 17 décembre 2020 (Dr E______) et 21 juin 2021 (Dr F______). 10.2 Il ressort en synthèse du rapport d’expertise du 17 décembre 2020 que même s’il considérait que le syndrome d’Asperger était « plausible », le Dr E______ n’en estimait pas moins qu’il n’était ni possible (à l’issue d’un seul entretien) ni nécessaire de s’assurer de son existence puisque dans cette éventualité, ce</w:t>
      </w:r>
    </w:p>
    <w:p>
      <w:r>
        <w:t>A/2728/2022 - 22/25 - trouble n’avait pas empêché la recourante d’effectuer des études et de travailler en tant qu’architecte par le passé et qu’il était donc possible de se concentrer sur le seul épisode dépressif moyen avec syndrome somatique (F32.11 ; également posé par la Dre C______) dont les effets incapacitants pouvaient diminuer progressivement à condition d’en ajuster le traitement. Dans son complément d’évaluation du 9 février 2021 – qui faisait suite au rapport du 3 février 2021 de la Dre C______, annonçant une aggravation de la dépression en fin d’année 2020 –, le Dr E______ a considéré qu’une telle évolution était « naturellement possible », mais que les informations ressortant du rapport du 3 février 2021 de la Dre C______ ne lui permettaient de déterminer ni l’incidence des limitations fonctionnelles actuelles sur la capacité de travail, ni le point de savoir si les recommandations thérapeutiques qu’il avait émises le 17 décembre 2020 avaient été suivies. Aussi ne pouvait-il pas dire si les conclusions qu’il avait rendues à cette date étaient toujours d’actualité. En ce qui concerne le rapport du 21 juin 2021 du Dr F______, il reprend à son compte le raisonnement tenu par le Dr E______, selon lequel un éventuel syndrome d’Asperger n’aurait pas besoin d’être posé lege artis, dans la mesure où son existence supposée n’aurait pas empêché la recourante de travailler par le passé. Le rapport du Dr F______ se distingue néanmoins de ceux des Dr E______ et C______ par le fait qu’il ne retient aucun diagnostic psychiatrique, à tout le moins le jour de l’expertise (15 juin 2021), excepté un éventuel syndrome d’Asperger qu’il n’était pas indispensable, aux dires de cet expert, de confirmer/infirmer vu son absence d’effet invalidant par le passé. La chambre de céans constate que le procédé, commun aux deux experts mandatés par Allianz, consistant à examiner séparément le syndrome d’Asperger – qui plus est sous forme de simple hypothèse – et à se focaliser sur le seul état dépressif ne respecte pas la procédure d’établissement des faits structurée (cf. ci-dessus : consid. 6.2.5), celle-ci prévoyant, entre autres, que même si un trouble psychique, pris séparément, n’est pas invalidant, il doit être pris en considération dans l’appréciation globale de la capacité de travail, qui tient compte des effets réciproques des différentes atteintes (ATF 143 V 418 consid. 8.1). On peut certes être tenté d’objecter qu’en l’absence d’état dépressif et d’autres diagnostics psychiatriques retenus par l’expert F______, un hypothétique syndrome d’Asperger pourrait être examiné en lui-même. Sachant toutefois que ce médecin en réfute les effets invalidants au jour de l’expertise non pas sur la base de critères diagnostiques – qu’il reconnaît d’ailleurs être incapable d’examiner de manière complète « après un seul entretien et sans avoir pu compléter l’hétéroanamnèse » (dossier AI, doc. 85, p. 381) – mais en exposant des généralités sur l’évolution habituelle de cette maladie au fil des étapes de la vie de celles et ceux qui en sont atteints (dossier AI, doc. 85, p. 382), le rapport d’évaluation du Dr F______ s’avère en définitive tout aussi peu convaincant – car détaché du cas concret – que celui du Dr E______, de sorte qu’on ne saurait reconnaître de valeur probante à</w:t>
      </w:r>
    </w:p>
    <w:p>
      <w:r>
        <w:t>A/2728/2022 - 23/25 - aucune de ces deux expertises. On rappellera par ailleurs que les rapports de ces deux médecins ont été réalisés sur mandat d’un assureur d’indemnités journalières en cas de maladie – et donc pas dans le cadre de la procédure prévue à l’art. 44 LPGA –, si bien qu’il suffit d’un doute, même minime, quant à leur fiabilité et à leur cohérence pour que des clarifications complémentaires s’imposent (ci-dessus : consid. 8.3.3 et 8.3.4). En l’occurrence, la Dre C______ indiquait, dans son rapport du 3 novembre 2022 à l’assureur obligatoire des soins, que les diagnostics d’état dépressif moyen avec syndrome somatique (F32.11) et de syndrome d’Asperger (F84.5) mentionnés dans son précédent rapport du 1er avril 2021 (à cet assureur) étaient toujours d’actualité (cf. pièce 8 recourant). Il s’ensuit qu’ils l’étaient a priori également le 23 juin 2022, soit à la date de la décision litigieuse. Par ailleurs, dans ce même rapport du 3 novembre 2022, la Dre C______ réitère son explication – déjà donnée dans son rapport du 25 février 2021 (dossier AI, doc. 85, p. 404) –, selon laquelle le syndrome d’Asperger est invalidant avec une « suradaptation » aux échanges sociaux, ce qui amène à un épuisement grave, ainsi qu’à des décompensations dépressives de traitement difficile. Ces éléments, qui mettent en exergue une interaction entre le syndrome d’Asperger et l’état dépressif moyen avec syndrome somatique, laissent à tout le moins subsister un doute quant à l’absence de diagnostic psychiatrique retenue par le Dr F______ en juin 2021, ce à plus forte raison que les conclusions de ce médecin, et celles du Dr E______, bien que différentes entre elles, ont pour point faible commun de résulter d’une analyse du syndrome d’Asperger sous forme de simple hypothèse dont le caractère invalidant est nié par référence au passé mais sans examen lege artis de ses répercussions actuelles et concrètes – et, s’agissant du Dr E______, sans examen de ses interactions avec l’état dépressif moyen avec syndrome somatique. Dans ces circonstances, le SMR et l’intimé ne pouvaient considérer, en l’état de l’instruction, que dans la mesure où l’épisode dépressif moyen avec syndrome somatique était, selon les constatations du Dr F______, en rémission au moment de l’examen pratiqué par ce médecin, la capacité de travail de la recourante, après avoir été nulle du 16 janvier 2020 au 2 mars 2021, était à nouveau entière dans toute activité à compter du 3 mars 2021, justifiant ainsi la suppression de la rente entière au 30 juin 2021. 10.3 En l’état actuel, la chambre de céans ne peut donc pas statuer de manière définitive sur le droit aux prestations de la recourante, à tout le moins pour la période à partir du 30 juin 2021. Il incombera donc à l’intimé de mettre en œuvre une expertise indépendante au sens de l’art. 44 LPGA et d’inviter l’expert à se prononcer de manière claire, au regard de l’ensemble des atteintes psychiques de la recourante, sur l’existence d’une amélioration de l’état de santé à partir de mars 2021, les limitations fonctionnelles, le taux de capacité de travail dans l’activité habituelle et dans une activité adaptée, le rendement dans une telle activité ainsi que la/les date(s) d’exigibilité d’une reprise de travail partielle/totale.</w:t>
      </w:r>
    </w:p>
    <w:p>
      <w:r>
        <w:t>A/2728/2022 - 24/25 - 11. Au vu de ce qui précède, le recours doit être partiellement admis, la décision querellée annulée en tant qu’elle supprime la rente d’invalidité au 30 juin 2021 et la cause renvoyée à l’intimé pour instruction complémentaire au sens des considérants et nouvelle décision.</w:t>
      </w:r>
    </w:p>
    <w:p>
      <w:r>
        <w:rPr>
          <w:b/>
        </w:rPr>
        <w:t>E. 12</w:t>
      </w:r>
    </w:p>
    <w:p>
      <w:r>
        <w:t>La recourante, représentée par un avocat, a droit à des dépens, qui seront fixés à CHF 1’500.- (art. 61 let. g LPGA). Au vu du sort du recours, il y a lieu de condamner l’intimé au paiement d’un émolument de CHF 200.- (art. 69 al. 1 bis LAI).</w:t>
      </w:r>
    </w:p>
    <w:p>
      <w:r>
        <w:t>*****</w:t>
      </w:r>
    </w:p>
    <w:p>
      <w:r>
        <w:t>A/2728/2022 - 25/25 -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