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ATAS/942/2013 vom 24. September 2013</w:t>
      </w:r>
    </w:p>
    <w:p>
      <w:r>
        <w:t>GE Cour de justice, 2013-09-24, FR</w:t>
      </w:r>
    </w:p>
    <w:p>
      <w:r>
        <w:rPr>
          <w:b/>
        </w:rPr>
        <w:t xml:space="preserve">Quelle: </w:t>
      </w:r>
      <w:r>
        <w:t>https://mcp.opencaselaw.ch/entscheid/ge_gerichte_ATAS_942_2013</w:t>
      </w:r>
    </w:p>
    <w:p>
      <w:r>
        <w:t>FR: GE_GERICHTE ATAS/942/2013 du 24 septembre 2013</w:t>
      </w:r>
    </w:p>
    <w:p>
      <w:r>
        <w:t>IT: GE_GERICHTE ATAS/942/2013 del 24 settembre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remontant à l’année 2008, du point de vue matériel, le droit éventuel aux prestations doit être examiné au regard des dispositions de la LAI consécutives à la 5ème révision jusqu’au 31 décembre 2011, et après le 1er janvier 2012, en fonction des modifications relatives à la 6ème révision,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La LPGA, entrée en vigueur le 1er janvier 2003, est applicable au cas d’espèce.</w:t>
      </w:r>
    </w:p>
    <w:p>
      <w:r>
        <w:t>N° de procédure - 9/17 -</w:t>
      </w:r>
    </w:p>
    <w:p>
      <w:r>
        <w:rPr>
          <w:b/>
        </w:rPr>
        <w:t>E. 3</w:t>
      </w:r>
    </w:p>
    <w:p>
      <w:r>
        <w:t>Interjeté dans les formes et délai prévus par la loi, le présent recours est recevable (art. 56 à 61 LPGA).</w:t>
      </w:r>
    </w:p>
    <w:p>
      <w:r>
        <w:rPr>
          <w:b/>
        </w:rPr>
        <w:t>E. 4</w:t>
      </w:r>
    </w:p>
    <w:p>
      <w:r>
        <w:t>Le litige porte sur le droit du recourant à une rente d’invalidité postérieurement au 28 février 2009.</w:t>
      </w:r>
    </w:p>
    <w:p>
      <w:r>
        <w:rPr>
          <w:b/>
        </w:rPr>
        <w:t>E. 5</w:t>
      </w:r>
    </w:p>
    <w:p>
      <w:r>
        <w:t>Selon la jurisprudence, une décision par laquelle l’assurance-invalidité accorde une rente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6</w:t>
      </w:r>
    </w:p>
    <w:p>
      <w:r>
        <w:t>Il convient tout d’abord de déterminer si l’état de santé du recourant s’est amélioré depuis le 12 mars 2009, comme retenu par l’intimé. 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w:t>
      </w:r>
    </w:p>
    <w:p>
      <w:r>
        <w:t>N° de procédure - 10/17 - objectivement que possible (ATF 102 V 165 ; VSI 2001 p. 224 consid. 2b et les références ; cf. aussi ATF 127 V 294 consid. 4c in fine).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N° de procédure - 11/17 -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180 consid. 3.2). Le devoir du juge de constater les faits pertinents ne dispense donc pas les parties de collaborer à l’administration des preuves en donnant des indications sur les faits de la cause ou en désignant des moyens de preuve (ATF 130 I 180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En présence d’un refus de collaborer, le juge est fondé à procéder à une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sous l’angle des faits médicaux retenus par l’assureur (ATFA non publié du 6 mai 2004, I 90/04, consid. 4 ; voir aussi RCC 1985 p. 322).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N° de procédure - 12/17 -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a) Préalablement, il sera relevé que le recourant n’a pas répondu au courrier de la Cour de céans du 18 juin 2013 et ne s’est pas présenté lors de l’audience de comparution personnelle du 3 septembre 2013. Il sera dès lors procédé à une appréciation des preuves sur la base des éléments présents au dossier. b) En l’espèce, l’OAI s’est fondé en substance sur l’avis du SMR du 25 juin 2010 et sur le rapport de la CRR du 30 mars 2009 pour retenir que la capacité de travail du recourant était nulle du mois de janvier 2008 au 12 mars 2009, date à laquelle elle était à nouveau entière dans une activité adaptée aux limitations fonctionnelles. Il convient de constater que ledit rapport de la CRR présente valeur probante au sens de la jurisprudence, ce que le recourant n’a pas contesté. En effet, il a été établi suite à un séjour d’un mois à la CRR et sur la base d’une anamnèse personnelle, professionnelle et médicale du recourant, de son dossier médical, des documents radiologiques, des examens cliniques somatiques et psychiatriques et a tenu compte des plaintes du recourant. Les médecins ont également exposé leurs constatations cliniques et motivé leurs conclusions. Toutefois, on ne saurait retenir, à l’instar de l’intimé et du SMR, que la capacité de travail dans une activité adaptée était de 100% déjà dès le 12 mars 2009, soit dès la sortie du recourant de la CRR. En effet, d’une part, les médecins de la CRR ne se sont pas prononcés sur une capacité de travail dans une activité adaptée et ont conclu que la capacité de travail dans l’activité antérieure était nulle jusqu’au</w:t>
      </w:r>
    </w:p>
    <w:p>
      <w:r>
        <w:rPr>
          <w:b/>
        </w:rPr>
        <w:t>E. 11</w:t>
      </w:r>
    </w:p>
    <w:p>
      <w:r>
        <w:t>avril 2009, aucun médecin ayant examiné le recourant n’ayant retenu une capacité de travail antérieurement. Quant aux autres rapports de médecins au dossier, soit ceux des Drs I__________, B__________ et C__________, ils ne mettent pas en exergue d’éléments déterminants remettant en cause cette conclusion. Dès lors, la Cour de céans considère que l’état de santé du recourant s’est amélioré dès le 11 avril 2009, en ce sens que celui-ci présentait depuis lors une pleine capacité de travail dans une activité adaptée. 8. Reste à se prononcer sur le degré d’invalidité du recourant et sur la durée de son droit à une rente d’invalidité. a) L’art. 28 al. 2 LAI, en vigueur depuis le 1er janvier 2008, dispose que l’assuré a droit à une rente entière s’il est invalide à 70% au moins, à trois quarts de rente s’il est invalide à 60% au moins, à une demi-rente s’il est invalide à 50% au moins ou à un quart de rente s’il est invalide à 40% au moins.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Conformément à l’art. 29 al. 3 LAI (dans sa teneur dès le 1er janvier 2008), la rente est versée dès le début du mois au cours duquel le droit prend naissance. b)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w:t>
      </w:r>
    </w:p>
    <w:p>
      <w:r>
        <w:t>N° de procédure - 14/17 - c)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(ci-après l’ESS ;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w:t>
      </w:r>
    </w:p>
    <w:p>
      <w:r>
        <w:t>N° de procédure - 15/17 -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9. En l’espèce, l’incapacité de travail du recourant était totale dans toutes les activités lucratives dès le 14 janvier 2008 et la demande de prestations a été déposée à l’OAI en juin 2008, de sorte que c’est à juste titre que l’OAI a fixé le début de son droit à une rente entière d’invalidité au 1er janvier 2009. En outre, il a précédemment été déterminé que cette incapacité de travail dans toutes les activités lucratives s’est maintenue jusqu’au 11 avril 2009, date à laquelle la capacité de travail du recourant était à nouveau entière dans une activité adaptée à ses limitations fonctionnelles. Ainsi, dans la mesure où le changement important de la capacité de travail ayant une incidence sur la capacité de gain remonte à avril 2009, il convient de se placer en 2009 pour procéder à la comparaison des revenus (ATF non publié I 95/07 du 15 février 2008 consid. 5). Le revenu sans invalidité doit être déterminé en se fondant sur les déclarations de l’employeur du recourant lequel a indiqué qu’en 2009, son revenu mensuel aurait été de 5'250 fr., complété par un treizième salaire, de sorte qu’on arrive, comme l’OAI, à un salaire annuel 2009 de 68'250 fr. (5'250 x 13). Pour ce qui est du revenu d’invalide, c’est à juste titre que l’intimé s’est fondé sur les salaires résultant de l’ESS. En effet, le recourant n’a repris une activité lucrative adaptée à son état de santé que dès le 1er décembre 2011. Ainsi, d’après l’ESS 2008, le revenu mensuel standardisé d’un homme exerçant une activité simple et répétitive (tableau TA1, niveau de qualification 4, ligne totale, homme, part au 13ème salaire comprise) est de 4'806 francs. Ce salaire hypothétique, calculé sur la base d’un horaire hebdomadaire de travail de 40 heures, doit encore être adapté à l’horaire de travail en 2009, lequel est de 41.6 heures (cf. Tableau « durée normale du travail dans les entreprises selon la division économique » de l’Office fédéral de la statistique) et à l’indice suisse des salaires nominaux (ISS ; en 2008 : 2'092 et en 2009 : 2'136). On obtient ainsi un revenu annuel brut de 61'240 fr. 40. En outre, l’OAI a fixé l’abattement à 15%, afin de tenir compte des limitations fonctionnelles du recourant et du fait que seule une activité légère pouvait être exercée. Dans la mesure où le recourant était âgé de 55 ans en 2009, l’abattement</w:t>
      </w:r>
    </w:p>
    <w:p>
      <w:r>
        <w:t>N° de procédure - 16/17 - peut être augmenté à 20%, de sorte que le revenu d’invalide 2009 est de 48'992 fr. 30 (61'240.40 – 20% x 61'240.40). Partant, le degré d’invalidité du recourant est de 28% ([68'250 – 48'992.30] x 100 / 68'250), taux n’ouvrant pas de droit à une rente. Dès lors, les conditions de la révision du droit à une rente entière d’invalidité sont réunies pour supprimer entièrement cette rente dès le 1er août 2009, soit trois mois après l’amélioration de l’état de santé du recourant (88a al. 1 RAI), et non dès le 1er mars 2009, comme l’a fait l’OAI. Pour le surplus, il sera encore relevé que le recourant a débuté, le 1er décembre 2011, une nouvelle activité auprès de son dernier employeur pour le même salaire que précédemment, de sorte que son degré d’invalidité est nul dès ce moment-là (cf. ATFA non publiés I 43/05 du 30 juin 2006, consid. 5.2 et I 1/03 du 15 avril 2003, consid. 5.2). 10. En conséquence, le recours est très partiellement admis et la décision attaquée réformée, en ce sens que le recourant a droit à une rente entière d’invalidité du 1er mars au 31 juillet 2009. Au vu de l’issue du litige et le recourant ayant été représenté jusqu’au 8 juillet 2013, une indemnité de 750 fr. lui est allouée à titre de dépens (art. 61 let. g LGPA et 89H al. 3 de la loi genevoise sur la procédure administrative ; LPA – E 5 10). De plus, la procédure de recours en matière de contestations portant sur l’octroi ou le refus de prestations de l’AI par devant la Cour de céans étant soumise à des frais de justice, un émolument de 200 fr. est mis à la charge de l’OAI (art. 69 al. 1bis LAI et 89H al. 4 LPA).</w:t>
      </w:r>
    </w:p>
    <w:p>
      <w:r>
        <w:t>N° de procédure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