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ATAS/942/2008 vom 27. August 2008</w:t>
      </w:r>
    </w:p>
    <w:p>
      <w:r>
        <w:t>GE Cour de justice, 2008-08-27, FR</w:t>
      </w:r>
    </w:p>
    <w:p>
      <w:r>
        <w:rPr>
          <w:b/>
        </w:rPr>
        <w:t xml:space="preserve">Quelle: </w:t>
      </w:r>
      <w:r>
        <w:t>https://mcp.opencaselaw.ch/entscheid/ge_gerichte_ATAS_942_2008</w:t>
      </w:r>
    </w:p>
    <w:p>
      <w:r>
        <w:t>FR: GE_GERICHTE ATAS/942/2008 du 27 août 2008</w:t>
      </w:r>
    </w:p>
    <w:p>
      <w:r>
        <w:t>IT: GE_GERICHTE ATAS/942/2008 del 27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130 V 445),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Les règles de procédure quant à elles s'appliquent sans réserve dès le jour de son entrée en vigueur (ATF 117 V 93 consid. 6b, 112 V 360 consid. 4a; RAMA 1998 KV 37 p. 316 consid. 3b). La LPGA s’applique donc au cas d’espèce. Enfin,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rPr>
          <w:b/>
        </w:rPr>
        <w:t>E. 3</w:t>
      </w:r>
    </w:p>
    <w:p>
      <w:r>
        <w:t>Interjeté dans les forme et délai prévus par la loi, le recours est recevable (art. 56 et 60 LPGA).</w:t>
      </w:r>
    </w:p>
    <w:p>
      <w:r>
        <w:t>A/4812/2007 - 9/14 -</w:t>
      </w:r>
    </w:p>
    <w:p>
      <w:r>
        <w:rPr>
          <w:b/>
        </w:rPr>
        <w:t>E. 4</w:t>
      </w:r>
    </w:p>
    <w:p>
      <w:r>
        <w:t>Le litige consiste à déterminer si la recourante présente une atteinte à la santé invalidante, ouvrant droit à des prestations de l'assurance-invalidité.</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Depuis le 1er janvier 2004, l'assuré a droit à une rente entière s'il est invalide à 70 % au moins, à trois 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t>A/4812/2007 - 10/14 -</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consid. 3c p. 268, 99 V 28 consid. 2; VSI 2002 p. 32 consid. 2a, 1996 p. 319 consid. 2a, 321 consid. 1a et 325 consid. 1a).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(cf. ATF du 15 avril 2008 9C_395/2007; sur l'ensemble de la question, cf. arrêt I 169/06 du 8 août 2006, consid. 2.2 et les arrêts cités).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w:t>
      </w:r>
    </w:p>
    <w:p>
      <w:r>
        <w:t>A/4812/2007 - 11/14 - dépendance. Si l'examen médical conduit à la conclusion que la dépendance est seule déterminante du point de vue de l'assurance-invalidité, il n'y a pas lieu d'opérer une distinction entre les différentes atteintes à la santé (cf. arrêt I 731/02 du 25 juillet 2003, consid. 2.3).</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8</w:t>
      </w:r>
    </w:p>
    <w:p>
      <w:r>
        <w:t>En l'espèce, il résulte de l'expertise réalisée à la demande de l'intimé par la Dresse B__________ que la recourante présente depuis 1981 un syndrome de dépendance aux substances psycho-actives multiples, en rémission partielle, sous traitement de substitution (F19.201 et F19.22) ainsi qu'un déficit cognitif persistant F19.75, dont l'apparition est impossible à dater, et que ces troubles entraînent une incapacité de travail totale dans quelque activité que ce soit.</w:t>
      </w:r>
    </w:p>
    <w:p>
      <w:r>
        <w:t>A/4812/2007 - 12/14 - Selon le SMR, le syndrome de dépendance n'est pas invalidant, dès lors qu'il est en rémission partielle avec un traitement de substitution. Quant au déficit cognitif, il est à imputer à une persistance des conduites addictives et susceptible de s'amender complètement en cas d'abstinence. L'intimé considère en conséquence qu'aucun de ces diagnostics n'est à l'origine ou constitue une conséquence de la dépendance à des substances psycho-actives. L'incapacité de gain de la recourante est due avant tout à la toxico-dépendance, de sorte qu'il n'y a pas d'invalidité au sens de la loi. Le Tribunal de céans relève en premier lieu que contrairement à ce que soutient le SMR, l'expert psychiatre a clairement affirmé que même en en cas d'arrêt de consommation de produits toxiques, il persisterait un déficit cognitif conséquent et la recourante ne récupérerait pas toutes ses facultés cognitives. Elle a ajouté qu'une telle hypothèse est cependant inimaginable, car il faudrait faire un sevrage de substitution pendant des mois et elle ne pensait pas que la recourante y parviendrait, car l'utilisation de produits toxiques a un effet calmant sur son anxiété. D'autre part, si le traitement antidépresseur était interrompu, la recourante décompenserait de nouveau. Enfin, de son point de vue et contrairement à l'argument avancé par le psychologue, les troubles mnésiques ne constituent pas un symptôme de l'état dépressif. S'agissant des causes de la toxicomanie, elles ne sont pas claires. En effet, l'anamnèse évoque une maltraitance dans l'enfance ainsi que de grosses difficultés d'intégration à l'arrivée en Suisse à l'adolescence, mais dans la discussion du cas, l'expert ne précise rien quant à un éventuel lien. Lors de l'audience, la Dresse B__________ a déclaré qu'il était difficile de dire si la polytoxicomanie de l'assurée est à mettre en lien avec son histoire personnelle et plus particulièrement la maltraitance et qu'elle pensait qu'elle a été due aux difficultés d'intégration sociale. Par ailleurs, il est fait cas dans l'anamnèse de trouble anxieux; l'expert n'a cependant pas retenu ce diagnostic, expliquant qu'il n'est pas constant. Or, elle mentionne aussi que la recourante prend des produits toxiques pour précisément agir sur son état anxieux, lors de stress, et que cet état anxieux est compensé si la recourante reste chez elle. Il est noté que la recourante présente de grandes difficultés à se mobiliser, qu'elle ne peut pas sortir de chez elle sans être accompagnée par son mari, comme cela été le cas pour la consultation dans le cadre de l'expertise, et qu'elle est incapable de fonctionner normalement. Elle est ralentie et a des difficultés à accomplir des actes simples de la vie quotidienne, comme se coiffer et se maquiller. L'on ignore cependant quels sont les motifs de ce repli, à savoir s'il est dû à l'anxiété, la conduite addictive ou aux troubles mnésiques. Enfin, dans l'appréciation du cas, l'expert indique qu'il persiste des troubles importants de mémoire et de concentration, alors qu'au status clinique elle mentionne que la concentration est sans particularité et que la recourante lit énormément sans rencontrer de difficultés.</w:t>
      </w:r>
    </w:p>
    <w:p>
      <w:r>
        <w:t>A/4812/2007 - 13/14 - Le Tribunal de céans constate que l'expert ne s'est pas prononcée sur le point de savoir quelle est l'importance des troubles mnésiques sur la capacité de travail d'une part, et celle due à la dépendance d'autre part. Elle ne s'est pas non plus déterminée sur la question de savoir si le traitement de l'hépatite C a pu effectivement décompenser l'état psychique, et, le cas échéant, dans quelle mesure et durant quelle période. L'expertise, qui comporte des lacunes et certaines contradictions, n'est ainsi pas suffisamment probante pour tirer des conclusions définitives dans le cas d'espèce.</w:t>
      </w:r>
    </w:p>
    <w:p>
      <w:r>
        <w:t>Au vu de ce qui précède, une instruction complémentaire s'impose.</w:t>
      </w:r>
    </w:p>
    <w:p>
      <w:r>
        <w:rPr>
          <w:b/>
        </w:rPr>
        <w:t>E. 9</w:t>
      </w:r>
    </w:p>
    <w:p>
      <w:r>
        <w:t>En conséquence, il convient d'admettre le recours, d'annuler la décision et de renvoyer la cause à l'intimé afin qu'il mette en oeuvre une nouvelle expertise psychiatrique et rende une nouvelle décision.</w:t>
      </w:r>
    </w:p>
    <w:p>
      <w:r>
        <w:rPr>
          <w:b/>
        </w:rPr>
        <w:t>E. 10</w:t>
      </w:r>
    </w:p>
    <w:p>
      <w:r>
        <w:t>La recourante, représentée par un mandataire, a droit à une indemnité à titre de participation à ses frais et dépens, que le Tribunal fixe en l'espèce à 1'000 fr. (art. 6l let. g LPGA; art. 89H al. 3 LPA).</w:t>
      </w:r>
    </w:p>
    <w:p>
      <w:r>
        <w:rPr>
          <w:b/>
        </w:rPr>
        <w:t>E. 11</w:t>
      </w:r>
    </w:p>
    <w:p>
      <w:r>
        <w:t>Au vu de l'issue du litige, un émolument de 500 fr. est mis à la charge de l'intimé (art. 69 al. 1bis LAI).</w:t>
      </w:r>
    </w:p>
    <w:p>
      <w:r>
        <w:t>A/4812/2007 - 14/14 -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