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ATAS/941/2024 vom 29. November 2024</w:t>
      </w:r>
    </w:p>
    <w:p>
      <w:r>
        <w:t>GE Cour de justice, 2024-11-29, FR</w:t>
      </w:r>
    </w:p>
    <w:p>
      <w:r>
        <w:rPr>
          <w:b/>
        </w:rPr>
        <w:t xml:space="preserve">Quelle: </w:t>
      </w:r>
      <w:r>
        <w:t>https://mcp.opencaselaw.ch/entscheid/ge_gerichte_ATAS_941_2024</w:t>
      </w:r>
    </w:p>
    <w:p>
      <w:r>
        <w:t>FR: GE_GERICHTE ATAS/941/2024 du 29 novembre 2024</w:t>
      </w:r>
    </w:p>
    <w:p>
      <w:r>
        <w:t>IT: GE_GERICHTE ATAS/941/2024 del 29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60 LPGA ; art. 62 al. 1 de la de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le droit du recourant à des prestations de l'assurance-invalidité, en particulier sur la question de savoir si l'intimé a correctement instruit le dossier et calculé le degré d'invalidité.</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septembre 2023 soit six mois après le dépôt de la demande du 20 mars 2023</w:t>
      </w:r>
    </w:p>
    <w:p>
      <w:r>
        <w:t>A/1262/2024 - 8/19 - (cf. art. 29 al. 1 LAI), de sorte que les dispositions légales applicables seront citées dans leur nouvelle teneur.</w:t>
      </w:r>
    </w:p>
    <w:p>
      <w:r>
        <w:rPr>
          <w:b/>
        </w:rPr>
        <w:t>E. 3.1</w:t>
      </w:r>
    </w:p>
    <w:p>
      <w:r>
        <w:t>Le 1er janvier 2022,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Aux termes de l'art. 43 LPGA,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(arrêt du Tribunal fédéral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(Jacques Olivier PIGUET, in Commentaire romand de la loi sur la partie générale des assurances sociales, 2018, n. 12 ad art. 43 LPGA). Selon la jurisprudence, il est par ailleurs admissible de se fonder de manière déterminante sur un rapport du SMR. Même si celui-ci a pour fonction d'opérer la synthèse des renseignements médicaux versés au dossier, de prendre position à leur sujet et de prodiguer des recommandations quant à la suite à donner au dossier sur le plan médical, et qu'il ne contient aucune observation clinique, il n'est cependant pas dénué de toute valeur probante. Il convient toutefois de poser des exigences strictes en matière de preuve ; une expertise devra être ordonnée si des doutes, même faibles, subsistent quant à la fiabilité ou à la pertinence des</w:t>
      </w:r>
    </w:p>
    <w:p>
      <w:r>
        <w:t>A/1262/2024 - 9/19 - constatations effectuées par le SMR (ATF 142 V 58 consid. 5 ; 135 V 465 consid. 4.4 et 4.6 ; arrêt du Tribunal fédéral 9C_371/2018 du 16 août 2018 consid. 4.3.1).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l'intimé a fondé sa décision de refus de prestations sur les conclusions du SMR du 1er novembre 2023, aux termes desquelles le recourant présentait une incapacité totale de travail dans son activité habituelle dès le 5 août 2022, et une capacité de travail entière dans une activité adaptée à ses limitations fonctionnelles dès le 31 mars 2023. Le recourant conteste la valeur probante de ces conclusions, au motif qu'aucune expertise médicale n'a été rendue, ce qui rendrait l'instruction médicale lacunaire. Or, comme relevé ci-dessus, l'assureur dispose d'un large pouvoir d'appréciation en ce qui concerne la nécessité, l'étendue et l'adéquation de recueillir des données médicales. Il pouvait en l'occurrence se fonder de manière déterminante sur le rapport du SMR. En effet, les conclusions de celui-ci sont en accord avec les constatations des médecins traitants, aucun d'entre eux n'ayant indiqué que le recourant ne pourrait réaliser une activité adaptée, ou uniquement à un taux réduit, voire avec une baisse de rendement. Plus précisément, la Dre B______ a relevé à deux reprises que le recourant pouvait exercer un travail peu physique (assis ou en</w:t>
      </w:r>
    </w:p>
    <w:p>
      <w:r>
        <w:t>A/1262/2024 - 10/19 - position alternée assise et debout, sans port de charges lourdes et sans position statique debout plus de deux heures), le Dr D______ n'a fait état d'aucun diagnostic incapacitant et le Dr E______ a fait état d'une capacité de travail de 100% dans une activité adaptée. Quant au Dr F______, il a indiqué ne pas avoir revu le recourant depuis la mi-janvier 2023, de sorte qu'il ne pouvait se prononcer sur la question de l'exigibilité d'une activité lucrative. S'il est certes vrai qu'il a aussi mentionné que la reprise d'une activité professionnelle lui semblait compliquée, sans un éventuel traitement intervenu dans l'intervalle ayant pu changer la situation symptomatique, les limitations fonctionnelles qu'il a répertoriées (difficulté à marcher avec périmètre de marche très restreint, impossibilité de faire des mouvements sollicitant le genou tels que genou en flexion ou travail accroupi, et impossibilité de porter des charges) se recoupent néanmoins avec celles prises en considération par le SMR. Par ailleurs, s'agissant des lombalgies affectant le recourant, l'étroitesse constitutionnelle de son canal lombaire est connue de longue date puisqu'elle apparaissait déjà à l'IRM du 12 mai 2014 et a été retenue par le SMR (cf. mention d'un canal dorsolombaire étroit dans l'avis du 1er novembre 2023). Quant à l'examen neurologique du 26 janvier 2023 pratiqué par le Dr C______, il signale une discopathie en L1-L2 et révèle l'absence de signe de dénervation active dans les myotomes L2-S2 ou L4-L5. Or, le SMR a non seulement mentionné, dans son rapport, des discopathies dégénératives des vertèbres dorsales, mais aussi des vertèbres L1-L2. Au surplus, même si l'examen neurologique a montré un léger ralentissement de vitesse de conduction proximale sur le nerf tibial gauche, le Dr C______ a néanmoins exposé que ce paramètre n'expliquait en rien la symptomatologie du recourant, qui était d'ordre non neurologique et vraisemblablement liée aux lésions méniscales. Ce rapport neurologique ne permet ainsi pas de remettre en question les conclusions du SMR. Quant à la difficulté, pour le recourant, de maintenir la position assise, si, selon le rapport d'IPT, le stage réalisé en juillet 2023 semblait certes avoir provoqué de telles limitations, leur intensité et leur persistance ne se déduit pas de ce document. Le second stage effectué par le recourant dans un centre de détention, de fin septembre à fin novembre 2023, n'a en effet pas fait apparaître de telles douleurs, qui ne sont pas mentionnées dans le rapport. Au contraire, ce stage a été suivi d'une offre d'emploi de deux mois dans la même institution, compte tenu de la satisfaction de l'employeur. Par ailleurs, le Dr E______ avait noté que le recourant ne pouvait pas rester assis trop longtemps et le SMR a retenu que les positions statiques prolongées devaient être évitées, de sorte qu'il fallait privilégier une activité sédentaire autorisant une alternance des positions. Les limitations à la station assise invoquées par le recourant au vu de l'évolution de son état de santé dans le cadre de son contrat de durée déterminée n'ajoutent par conséquent pas de nouvelles restrictions par rapport à celles prises en compte par le SMR. Elles ne</w:t>
      </w:r>
    </w:p>
    <w:p>
      <w:r>
        <w:t>A/1262/2024 - 11/19 - sont par ailleurs pas attestées sur le plan médical, aucun médecin n'ayant confirmé une exacerbation des douleurs à la suite des récentes activités exercées. Le rapport médical complémentaire du 23 avril 2024 que le recourant a produit dans la procédure de recours ne permet pas non plus de remettre en cause les conclusions de l'instruction médicale. Bien que les examens pratiqués ont mis en évidence un canal lombaire étroit à quatre niveaux (de L1 à L5) entraînant une claudication neurogène, il sied de constater que ces résultats sont postérieurs d'un mois et demi à la décision attaquée. Par ailleurs, l'anamnèse fait état de douleurs lombaires récemment en péjoration, avec d'importants troubles de la marche. Rien n'indique donc, sous l'angle de la vraisemblance prépondérante, que la claudication neurogène serait antérieure à la décision du 29 février 2024, étant souligné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qui ont modifié cette situation, doivent ainsi en principe faire l'objet d'une nouvelle décision administrative (ATF 144 V 210 consid. 4.3.1 ; 130 V 130 consid. 2.1). Au vu de ce qui précède, il n'existe aucun motif de s'écarter des conclusions pertinentes du rapport du SMR. Le recourant affirme encore que l'intimé ne pouvait rendre sa décision avant la fin des mesures de réadaptation professionnelle initiées par l'assurance-chômage, celles-ci devant notamment permettre de déterminer si l'activité de gardien qu'il exerçait était adaptée à son état de santé. S'agissant par ailleurs d'un contrat de durée déterminée, il n'existait aucune garantie de renouvellement. Cette argumentation tombe à faux. Les différents stages effectués par le recourant et le contrat de durée déterminée qu'il a obtenu ne constituent pas des mesures de réadaptation au sens de la LAI (cf. art. 8 ss LAI). Il s'agit de mesures mises en œuvre par l'office cantonal de l'emploi, au vu de sa période de chômage, qui n'ont pas vocation à se prononcer spécifiquement sur son état de santé, ni à déterminer quelles activités sont adaptées à ses limitations fonctionnelles. L'intimé était par conséquent fondé à clore l'instruction du dossier avant la fin de ces mesures. Au vu de ce qui précède, la conclusion selon laquelle le recourant présente une capacité de travail entière dans une activité adaptée aux limitations fonctionnelles listées par le SMR, dès le 31 mars 2023 – date du rapport de la Dre B______ –, peut être confirmée. Le fait que la décision querellée mentionne de manière erronée la date du 5 août 2022 en tant que point de départ de l'exigibilité dans une activité adaptée n'a pas de conséquence, au vu du délai d'attente d'une année avant l'octroi d'une rente d'invalidité (cf. art. 28 al. 1 LAI). Il s'ensuit que la mise en œuvre d'une expertise sollicitée par le recourant doit être rejetée, par appréciation anticipée des preuves.</w:t>
      </w:r>
    </w:p>
    <w:p>
      <w:r>
        <w:t>A/1262/2024 - 12/19 -</w:t>
      </w:r>
    </w:p>
    <w:p>
      <w:r>
        <w:rPr>
          <w:b/>
        </w:rPr>
        <w:t>E. 5</w:t>
      </w:r>
    </w:p>
    <w:p>
      <w:r>
        <w:t>Dans un second moyen, le recourant conteste le calcul du taux d'invalidité auquel a procédé l'intimé. Il soutient, d'une part, qu'il n'existerait aucune activité lui étant accessible sur le marché ordinaire de l'emploi au vu de ses nombreuses limitations et, d'autre part, que la détermination de sa perte de gain est erronée.</w:t>
      </w:r>
    </w:p>
    <w:p>
      <w:r>
        <w:rPr>
          <w:b/>
        </w:rPr>
        <w:t>E. 5.1</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5.2</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Il ne s’agit pas d’une « comparaison en pour-cent » au sens de l'ATF 114 V 310 consid. 3a, mais d’une simplification purement arithmétique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w:t>
      </w:r>
    </w:p>
    <w:p>
      <w:r>
        <w:rPr>
          <w:b/>
        </w:rPr>
        <w:t>E. 5.2.1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w:t>
      </w:r>
    </w:p>
    <w:p>
      <w:r>
        <w:t>A/1262/2024 - 14/19 -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(arrêts du Tribunal fédéral I 168/05 du 24 avril 2006 consid. 3.3 et B 80/01 du 17 octobre 2003 consid. 5.2.2) ou lorsque l’assuré a quitté son emploi pour d’autres motifs que son état de santé (cf. arrêt du Tribunal fédéral 8C_537/2023 du 17 avril 2024 consid. 4.2.3 et 5.1 et les références). L'art. 26 RAI, entré en vigueur le 1er janvier 2022, prévoit par ailleurs, à son al. 4, que le revenu sans invalidité est déterminé sur la base des valeurs statistiques visées à l’art. 25 al. 3 RAI pour une personne ayant la même formation et une situation professionnelle correspondante, si le revenu effectivement réalisé ne peut pas être déterminé ou ne peut pas l’être avec suffisamment de précision.</w:t>
      </w:r>
    </w:p>
    <w:p>
      <w:r>
        <w:rPr>
          <w:b/>
        </w:rPr>
        <w:t>E. 5.2.2</w:t>
      </w:r>
    </w:p>
    <w:p>
      <w:r>
        <w:t>Le revenu avec invalidité est aussi déterminé en fonction des valeurs statistiques visées à l’art. 25 al. 3 RAI, si l’assuré ne réalise pas de revenu déterminant après la survenance de l'invalidité (art. 26bis al. 2 RAI). À ce titre,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w:t>
      </w:r>
    </w:p>
    <w:p>
      <w:r>
        <w:t>A/1262/2024 - 15/19 -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rPr>
          <w:b/>
        </w:rPr>
        <w:t>E. 5.3</w:t>
      </w:r>
    </w:p>
    <w:p>
      <w:r>
        <w:t>Selon l’art. 26bis al. 3 RAI – dans sa teneur en vigueur du 1er janvier 2022 au 31 décembre 2023 –, si, du fait de l’invalidité, les capacités fonctionnelles de l’assuré au sens de l’art. 49 al. 1bis RAI, ne lui permettent de travailler qu’à un taux d’occupation de 50% ou moins, une déduction de 10% pour le travail à temps partiel est opérée sur la valeur statistique. Le 1er janvier 2024, la modification de l’art. 26bis al. 3 RAI du 18 octobre 2023 (RO 2023 635) est entrée en vigueur. Dans sa nouvelle teneur, l’art. 26bis al. 3 RAI prévoit désormais qu’une déduction de 10% est opérée sur la valeur statistique visée à l’al. 2. Si, du fait de l’invalidité, l’assuré ne peut travailler qu’avec une capacité fonctionnelle au sens de l’art. 49 al. 1bis RAI, de 50% ou moins, une déduction de 20% est opérée. Aucune déduction supplémentaire n’est possible. Dans un arrêt de principe (8C_823/2023 du 8 juillet 2024, destiné à la publication),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dans le cas où les capacités fonctionnelles de la personne assurée ne lui permettent de travailler qu’à un taux d’occupation de 50% ou moins (cf. art. 26bis al. 3 RAI), le Conseil fédéral avait choisi une autre voie (consid. 9.4.3). Par conséquent, si en raison des circonstances du cas d’espèce, le salaire statistique des ESS doit être adapté au-delà de ce que prévoit l’art. 26bis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w:t>
      </w:r>
    </w:p>
    <w:p>
      <w:r>
        <w:t>A/1262/2024 - 16/19 -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L'étendue de l'abattement justifié dans un cas concret relève du pouvoir d'appréciation (ATF 132 V 393 consid. 3.3). S'agissant de l'abattement lié au handicap, il y a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Un certain nombre d'activités simples et légères ne requièrent pas de déplacement itératif (surtout sur terrain irrégulier), de station debout prolongée, de position accroupie ou à genoux ni de port de charges lourdes, ou permettent l'alternance des positions assise et debout, de sorte qu'un abattement ne se justifie en principe pas (arrêts du Tribunal fédéral 8C_860/2018 du 6 septembre 2019 consid. 6.3.3 et 8C_679/2020 du 1er juillet 2021 consid. 6.2.2).</w:t>
      </w:r>
    </w:p>
    <w:p>
      <w:r>
        <w:rPr>
          <w:b/>
        </w:rPr>
        <w:t>E. 5.4</w:t>
      </w:r>
    </w:p>
    <w:p>
      <w:r>
        <w:t>En l'occurrence, le recourant n'avance aucun élément concret qui permettrait de retenir qu'il n'a aucune perspective réaliste d'exercer une activité professionnelle sur le marché équilibré du travail. Ses limitations fonctionnelles sont d'ordre somatique et l'empêchent d'effectuer des activités contraignantes pour les genoux et le rachis, ou des activités trop statiques. Or, d'après la jurisprudence du Tribunal fédéral, le marché équilibré du travail offre suffisamment de possibilités d'exercer des activités légères ou alternées (arrêts du Tribunal fédéral 9C_424/2022 du 15 novembre 2022 consid. 5 et 8C_732/219 du 19 octobre 2020 consid. 4.5 et les références). Le grief tombe ainsi à faux. Le recourant soulève ensuite plusieurs arguments ayant trait à la détermination de la perte de gain opérée par l'autorité intimée. Il semble d'abord reprocher à l'intimé d'avoir confondu le degré d'invalidité avec le gain qu'il percevait dans le cadre de sa mesure de placement par l'assurance-chômage. Tel n'est cependant pas le cas. L'intimé a en effet déterminé le taux d'invalidité du recourant en effectuant une comparaison des revenus, en se fondant sur les statistiques pour établir le revenu avec et sans invalidité. Cette façon de procéder était justifiée dans le cas d'espèce, compte tenu du fait que le recourant était au chômage avant le début de son incapacité de travail durable et qu'il n'avait pas repris d'emploi fixe. Dans un tel cas de figure, comme la jurisprudence l'a relevé, il est superflu de chiffrer exactement la perte de gain, celle-ci se confondant avec le taux d'incapacité de travail. Le recourant critique ensuite le calcul de l'invalidité en se prévalant d'un taux d'activité réduit à 40% et d'une baisse de rendement de 30%. Les conclusions de</w:t>
      </w:r>
    </w:p>
    <w:p>
      <w:r>
        <w:t>A/1262/2024 - 17/19 - l'instruction médicale réalisée par l'intimé ayant été jugées probantes, il n'y a cependant pas lieu de prendre en considération ces paramètres de calcul. Il soutient en outre que son revenu sans invalidité devrait être basé sur les salaires de l'ESS de niveau 2, ses revenus antérieurs n'étant pas suffisamment représentatifs. S'il est certes vrai que le recourant dispose d'une formation de niveau secondaire suivie dans son pays d'origine et a réalisé plusieurs modules de formation dans le domaine de la sécurité en Suisse, il n'en demeure pas moins qu'il n'a jamais, avant l'atteinte à la santé, exercé de manière principale des métiers pratiques ayant ce niveau de compétence, puisqu'il était actif dans le domaine de l'entretien de bâtiments et en tant qu'aide-cuisinier. Bien que le recourant effectuait, depuis 2020, des missions sur appel dans le domaine de la sécurité, il n'en a jamais dégagé des revenus conséquents laissant penser que cette activité serait, selon la vraisemblance prépondérante, devenue son activité principale s'il n'avait pas subi une incapacité de travail. Au contraire, entre son licenciement de son poste principal d'aide-cuisinier et la date du 5 août 2022, il n'a pas été engagé de manière fixe pour un tel emploi. Le choix de l'intimé de fixer le revenu sans invalidité en référence au niveau 1 des salaires de l'ESS apparaît par conséquent bien-fondé. Le recourant se prévaut enfin de ce qu'un abattement de 25% sur le revenu avec invalidité devrait être appliqué. Pour la période antérieure au 1er janvier 2024, le Tribunal fédéral a effectivement jugé, dans un récent arrêt de principe, que l'ancienne jurisprudence restait applicable et pouvait conduire à accorder d'autres taux de déduction que le forfait de 10% prévu par l'art. 26bis al. 3 RAI lorsque le taux d'occupation de la personne assurée est de 50% ou moins en raison de ses capacités fonctionnelles. Aucun élément ne permet cependant, dans le cas d'espèce, de remettre en cause le résultat de la décision entreprise. En effet, seul un abattement en raison des limitations fonctionnelles pourrait éventuellement être accordé, celles-ci n'ayant pas déjà conduit à la reconnaissance d'une capacité de travail diminuée (à ce sujet, ATF 148 V 174 consid. 6.3 et les références ; 146 V 16 consid. 4.1 et ss et les références ; s'agissant de la jurisprudence plutôt restrictive du Tribunal fédéral concernant l'abattement en raison de limitations fonctionnelles des membres inférieurs et du rachis, cf. consid. 3.2 ci-dessus). Compte tenu de la nature des limitations fonctionnelles, un abattement de 10% pourrait tout au plus être accordé, ce qui conduirait à un taux d'invalidité de 10%, inférieur au seuil de 40% pour prétendre à une rente d'invalidité et inférieur à celui de 20% pour requérir des mesures de réadaptation (cf. art. 17 LAI ; ATF 130 V 488) – que le recourant ne sollicite par ailleurs plus dans son acte de recours. L'application de l'art. 26bis al. 3 RAI dans sa nouvelle teneur en vigueur dès le 1er janvier 2024 aboutit au même résultat, ladite disposition prévoyant désormais une déduction forfaitaire de 10% lorsque le revenu avec invalidité est déterminé</w:t>
      </w:r>
    </w:p>
    <w:p>
      <w:r>
        <w:t>A/1262/2024 - 18/19 - en fonction des valeurs statistiques, et l'exclusion de toute autre déduction supplémentaire. En conséquence, la décision de l'intimé du 16 avril 2024 est conforme au droit. Le cas échéant, il sera loisible au recourant de déposer une nouvelle demande de prestations dans l'hypothèse où la claudication neurogène observée en avril 2024 ne céderait pas au traitement prévu et entraînerait des limitations plus étendues que celles constatées dans le cadre de la présente procédure, ayant un impact sur sa capacité de travail. 6. Au vu de ce qui précède, le recours sera rejeté et le recourant sera condamné au paiement d'un émolument de CHF 200.- (art. 69 al. 1bis LAI).</w:t>
      </w:r>
    </w:p>
    <w:p>
      <w:r>
        <w:t>******</w:t>
      </w:r>
    </w:p>
    <w:p>
      <w:r>
        <w:t>A/1262/2024 - 19/19 - PAR CES MOTIFS, LA CHAMBRE DES ASSURANCES SOCIALES : Statuant À la forme :</w:t>
      </w:r>
    </w:p>
    <w:p>
      <w:r>
        <w:rPr>
          <w:b/>
        </w:rPr>
        <w:t>E. 9</w:t>
      </w:r>
    </w:p>
    <w:p>
      <w:r>
        <w:t>avril 2001 consid. 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notion de marché équilibré du travail, au sens de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9C_248/2018 du 19 septembre 2018 consid. 6.2 et les références). En d’autres termes,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w:t>
      </w:r>
    </w:p>
    <w:p>
      <w:r>
        <w:t>A/1262/2024 - 13/19 - marché du travail équilibré comprenant aussi de telles places de travail, dites « de niche » (arrêt du Tribunal fédéral 8C_772/2020 du 9 juillet 2021 consid. 3.3 et les références).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(8C_661/2023 du 21 mai 2024 consid. 5 et les références). Ainsi, même s'il paraît judicieux que l'office AI donne des exemples d'activités que la personne assurée peut encore exercer, à titre d'information, il n'en a pas l'obligation, le marché du travail offrant un éventail suffisamment large d'activités légères et accessibles sans aucune formation particulière (arrêt du Tribunal fédéral 9C_279/2008 du 16 décembre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