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ATAS/941/2021 vom 13. September 2021</w:t>
      </w:r>
    </w:p>
    <w:p>
      <w:r>
        <w:t>GE Cour de justice, 2021-09-13, FR</w:t>
      </w:r>
    </w:p>
    <w:p>
      <w:r>
        <w:rPr>
          <w:b/>
        </w:rPr>
        <w:t xml:space="preserve">Quelle: </w:t>
      </w:r>
      <w:r>
        <w:t>https://mcp.opencaselaw.ch/entscheid/ge_gerichte_ATAS_941_2021</w:t>
      </w:r>
    </w:p>
    <w:p>
      <w:r>
        <w:t>FR: GE_GERICHTE ATAS/941/2021 du 13 septembre 2021</w:t>
      </w:r>
    </w:p>
    <w:p>
      <w:r>
        <w:t>IT: GE_GERICHTE ATAS/941/2021 del 13 settembre 2021</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est recevable (art. 58 al. 1 LPGA).</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w:t>
      </w:r>
    </w:p>
    <w:p>
      <w:r>
        <w:t>A/3076/2020 - 4/6 -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d.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 10 mai 2005);</w:t>
      </w:r>
    </w:p>
    <w:p>
      <w:r>
        <w:t>A/3076/2020 - 5/6 -  l’OAI avait attendu quatorze mois depuis l’opposition de l’assuré au projet pour mettre en œuvre une expertise multidisciplinaire à laquelle l’assuré avait conclu d’emblée (ATAS/484/2007 du 9 mai 2007).</w:t>
      </w:r>
    </w:p>
    <w:p>
      <w:r>
        <w:rPr>
          <w:b/>
        </w:rPr>
        <w:t>E. 4</w:t>
      </w:r>
    </w:p>
    <w:p>
      <w:r>
        <w:t>En l’occurrence, l’intimée ayant rendu une décision le 15 juillet 2021, le recours n’a plus d’objet. Il convient néanmoins d’établir si l’intimée a commis un déni de justice, lequel justifierait l’octroi de dépens à la recourante, en d’autres termes si, au jour du dépôt du recours, le 5 juillet 2021, l’on pouvait reprocher à l’intimée un retard injustifié. La recourante reproche à l’intimée d’avoir rendu une décision le 15 juillet 2021, soit environ six mois après l’ATAS/50/2021 du 25 janvier 2021. Depuis cet arrêt, qui constatait un déni de justice commis par l’intimée, celle-ci a reçu, le 1er février 2021, le rapport d’expertise du Dr C______, lequel était essentiel pour pouvoir rendre la décision du 15 juillet 2021 ; l’intimée a ensuite requis rapidement, soit le 13 mars 2021, des renseignements de la part de l’employeur qu’elle a obtenus le 29 mars 2021 ; elle a peu après demandé à la recourante, soit le 4 mai 2021, une précision quant à la durée de son contrat de travail, renseignement qu’elle a reçu le 6 mai 2021. Vu les démarches entreprises sans délai par l’intimée depuis la réception du rapport d’expertise du Dr C______ ainsi que le délai de deux mois qui s’est écoulé entre le dernier renseignement reçu le 6 mai 2021 et le dépôt du recours le 5 juillet 2021, l’intimée n’a pas, selon la jurisprudence précitée, commis un déni de justice. Partant, aucune indemnité ne sera allouée à la recourante. Enfin, si la recourante l’estime justifié, elle pourra, comme elle l’a évoqué, saisir elle-même l’autorité de surveillance.</w:t>
      </w:r>
    </w:p>
    <w:p>
      <w:r>
        <w:rPr>
          <w:b/>
        </w:rPr>
        <w:t>E. 5</w:t>
      </w:r>
    </w:p>
    <w:p>
      <w:r>
        <w:t>Au vu de ce qui précède, le recours sera déclaré sans objet et la cause rayée du rôle. Pour le surplus, la procédure est gratuite.</w:t>
      </w:r>
    </w:p>
    <w:p>
      <w:r>
        <w:t>A/3076/2020 - 6/6 -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