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ATAS/941/2012 vom 2. August 2012</w:t>
      </w:r>
    </w:p>
    <w:p>
      <w:r>
        <w:t>GE Cour de justice, 2012-08-02, FR</w:t>
      </w:r>
    </w:p>
    <w:p>
      <w:r>
        <w:rPr>
          <w:b/>
        </w:rPr>
        <w:t xml:space="preserve">Quelle: </w:t>
      </w:r>
      <w:r>
        <w:t>https://mcp.opencaselaw.ch/entscheid/ge_gerichte_ATAS_941_2012</w:t>
      </w:r>
    </w:p>
    <w:p>
      <w:r>
        <w:t>FR: GE_GERICHTE ATAS/941/2012 du 2 août 2012</w:t>
      </w:r>
    </w:p>
    <w:p>
      <w:r>
        <w:t>IT: GE_GERICHTE ATAS/941/2012 del 2 agosto 2012</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 dérale sur l’assurance-invalidité du 19 juin 1959 (LAI; RS 831.20). En dérogation aux art. 52 et 58 LPGA, les décisions des offices AI cantonaux peu- vent directement faire l'objet d'un recours devant le tribunal des assurances du do- micile de l'office concerné. La compétence de la Cour de céans pour juger du cas d’espèce est ainsi établie.</w:t>
      </w:r>
    </w:p>
    <w:p>
      <w:r>
        <w:rPr>
          <w:b/>
        </w:rPr>
        <w:t>E. 2</w:t>
      </w:r>
    </w:p>
    <w:p>
      <w:r>
        <w:t>Le recours interjeté respectant les forme et délai prévus par la loi (art. 56 à 60 LPGA), il y a lieu de le déclarer recevable.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 ment où les faits juridiquement déterminants se sont produits et le juge des assuran- 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 velle réglementation légale après cette date (ATF 130 V 433 consid. 1 et les réfé- rences). La décision litigieuse est postérieure à l'entrée en vigueur de la LPGA ainsi qu'à celle, le 1er janvier 2004, des modifications de la LAI du 21 mars 2003 (4ème révi-</w:t>
      </w:r>
    </w:p>
    <w:p>
      <w:r>
        <w:t>A/2534/2011 - 7/11 - sion). Par conséquent, du point de vue matériel, le droit éventuel à une rente d'inva- lidité doit être examiné au regard des nouvelles normes de la LPGA et des modifi- cations de la LAI consécutives à la 4ème révision de cette loi, dans la mesure de leur pertinence (ATF 130 V 445 et les références; voir également ATF 130 V 329). Enfin, la loi fédérale du 16 décembre 2005 modifiant la LAI est entrée en vigueur le 1er juillet 2006 (RO 2006 2003), apportant des modifications qui concernent no- 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Le présent litige porte sur le droit de la recourante à des prestations de l'assurance- invalidité, singulièrement sur son statut et son degré d'invalidité.</w:t>
      </w:r>
    </w:p>
    <w:p>
      <w:r>
        <w:rPr>
          <w:b/>
        </w:rPr>
        <w:t>E. 5</w:t>
      </w:r>
    </w:p>
    <w:p>
      <w:r>
        <w:t>a) Est réputée invalidité l'incapacité de gain totale ou partielle présumée perma- nente ou de longue durée, résultant d'une infirmité congénitale, d'une maladie ou d'un accident (art. 8 al. 1 LPGA et 4 al. 1 LAI). Est réputée incapacité de travail toute perte, totale ou partielle, de l’aptitude de l’assuré à accomplir dans sa profession ou son domaine d’activité le travail qui peut raisonnablement être exigé de lui, si cette perte résulte de sa santé physique ou mentale. En cas d’incapacité de travail de longue durée, l’activité qui peut être exi- gée de lui peut aussi relever d’une autre profession ou d’un autre domaine d’activité (art. 6 LPGA). Est réputée incapacité de gain toute diminution de l'ensemble ou d'une partie des possibilités de gain de l'assuré sur le marché du travail équilibré qui entre en consi- dération, si cette diminution résulte d'une atteinte à la santé physique ou mentale et qu'elle persiste après les traitements et les mesures de réadaptation exigibles (art. 7 LPGA). Selon la jurisprudence du Tribunal fédéral (TF), l’objet de l’assurance n’est donc pas l’atteinte à la santé en soi mais plutôt les conséquences économiques qui en dé- coulent, soit l’incapacité de réaliser un gain par un travail exigible (ou d’accomplir les travaux habituels pour les non-actifs). La notion d’invalidité est ainsi une notion juridique, basée sur des éléments essentiellement économiques, qui ne se confond pas forcément avec le taux de l’incapacité fonctionnelle, tel que le détermine le mé- decin ; ce sont les conséquences économiques de l’incapacité fonctionnelle qu’il importe d’évaluer (ATF 105 V 207ss.; 106 V 88; 110 V 275; RCC 1981 p. 124 consid. 1a). b) Selon l'art. 28 al. 1 LAI dans sa teneur en vigueur jusqu'au 31 décembre 2003, l'assuré a droit à une rente entière s'il est invalide à 66 2/3 % au moins, à une demi- rente s'il est invalide à 50 % au moins, ou à un quart de rente s'il est invalide à 40 %</w:t>
      </w:r>
    </w:p>
    <w:p>
      <w:r>
        <w:t>A/2534/2011 - 8/11 - au moins. Chez les assurés actifs, le degré d'invalidité doit être déterminé sur la ba- se d'une comparaison des revenus. Pour cela, le revenu du travail que l'invalide pourrait obtenir en exerçant l'activité qu'on peut raisonnablement attendre de lui, après exécution éventuelle de mesures de réadaptation et compte tenu d'une situa- 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Le nouveau droit n'a pas modifié l'échelonnement des rentes (art. 28 al. 1 LAI) en tant qu'il se rapporte au quart et à la demi-rente, mais il permet d'octroyer trois- quarts de rente à l'assuré dont le degré d'invalidité atteint 60 %, alors que le taux ouvrant droit à une rente entière est passé de 66 à 70 %. c) Pour pouvoir calculer le degré d'invalidité, l'administration (ou le juge, s'il y a eu recours) a besoin de documents que le médecin et éventuellement d'autres spécialis- tes doivent lui fournir. La tâche du médecin consiste à porter un jugement sur l'état de santé et à indiquer dans quelle mesure et pour quelles activités l'assuré est inca- 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 tion, sous la forme d’un rapport ou d’une expertise, mais bel et bien son contenu (ATF 122 V 160 consid. 1c ; OMLIN, Die Invaliditätsbemessung in der obligatorischen Unfallversicherung p. 297ss.; MORGER, Unfallmedizinische Begutachtung in der SUVA, in RSAS 32/1988 p. 332ss.).</w:t>
      </w:r>
    </w:p>
    <w:p>
      <w:r>
        <w:t>A/2534/2011 - 9/11 -</w:t>
      </w:r>
    </w:p>
    <w:p>
      <w:r>
        <w:rPr>
          <w:b/>
        </w:rPr>
        <w:t>E. 6</w:t>
      </w:r>
    </w:p>
    <w:p>
      <w:r>
        <w:t>a) Se pose également la question de savoir quel statut il convient d'accorder à l'as- surée. L'intimé a considéré qu'elle devait être qualifiée de ménagère, ce que l'inté- ressée conteste en alléguant qu’en bonne santé, elle aurait cherché à travailler en tant que nettoyeuse. b) Tant lors de l'examen initial du droit à la rente qu'à l'occasion d'une révision de celle-ci, il faut examiner quelle méthode d'évaluation de l'invalidité il convient d'appliquer. Le choix de l'une des trois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 teinte à la santé n'était pas survenue. Pour savoir si un assuré doit être considéré comme une personne exerçant une acti- vité à plein temps ou à temps partiel, respectivement pour déterminer la part de l'ac- tivité lucrative par rapport à celle consacrée aux travaux ménagers, ou s'il se consa- crerait uniquement à ses travaux ménagers, il convient d'examiner ce que ferait l'as- suré dans les mêmes circonstances s'il n'était pas atteint dans sa santé. Pour les as- surés travaillant dans le ménage, il faut tenir compte de la situation familiale, so- ciale et professionnelle, ainsi que des tâches d'éducation et de soins à l'égard des en- fants, de l'âge, des aptitudes professionnelles, de la formation, des dispositions et des prédispositions. Selon la pratique, la question du statut doit être tranchée sur la base de la situation telle qu'elle s'est développée jusqu'au moment où l'administra- tion a pris sa décision, encore que, pour admettre l'éventualité selon laquelle l'assu- 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 ss consid. 2b, 1996 p. 209 consid. 1c, et les références citées). b) En l'espèce, il est constant que la recourante n'a exercé d'activité lucrative ni en Turquie ni en Suisse - à l’exception d’un seul mois et pour un revenu fort modeste. Qui plus est, elle a finalement admis que, même si elle avait été en bonne santé, l’état de son fils ne lui aurait pas laissé la possibilité de travailler. Dans ces circons- tances et compte tenu en particulier du fait que l’assurée n’a travaillé qu’un mois entre son arrivée en Suisse - en 1991 - et le début de l’incapacité de travail attestée par ses médecins - en 2009-2010, ses allégations selon lesquelles elle aurait mis à profit sa capacité de travail si l’occasion lui en avait été donnée ne sauraient convaincre. En conséquence, c’est à juste titre que l’intimé lui a reconnu un statut de ménagère à 100%. Sur ce point, le recours est donc rejeté.</w:t>
      </w:r>
    </w:p>
    <w:p>
      <w:r>
        <w:t>A/2534/2011 - 10/11 -</w:t>
      </w:r>
    </w:p>
    <w:p>
      <w:r>
        <w:rPr>
          <w:b/>
        </w:rPr>
        <w:t>E. 7</w:t>
      </w:r>
    </w:p>
    <w:p>
      <w:r>
        <w:t>La recourante conteste également l’évaluation de sa capacité de travail et demande qu’une expertise médicale soit mise sur pied afin d’éclaircir sa situation sur le plan psychique. Une telle mesure apparaît cependant inutile dans la mesure où l’assurée doit se voir reconnaître le statut de ménagère et où seule demeure donc litigieuse sa capacité à assumer ses travaux habituels. La question n’est donc pas tant de savoir quelles sont exactement les atteintes psychiques de la recourante - lesquelles ne sont au demeurant pas contestées puisqu’il est admis qu’elle souffre d’un état dé- pressif léger et d’un trouble panique - mais quelles sont leurs conséquences sur sa capacité à assumer son ménage. Or, sur ce point, l'enquête ménagère effectuée au domicile de l'assuré constitue en règle générale une base appropriée et suffisante pour évaluer les empêchements dans ce domaine. C’est donc plutôt une telle en- quête dont l’intimé ne pouvait faire l’économie au seul motif que l’un des médecins du SMR avait laconiquement conclu à l’absence de tout empêchement alors que le psychiatre traitant retient un certain nombre de limitations. Dans cette mesure, le recours est très partiellement admis et la cause renvoyée à l’intimé à charge pour ce dernier de mettre sur pied une enquête ménagère en bonne et due forme et de rendre ensuite une nouvelle décision.</w:t>
      </w:r>
    </w:p>
    <w:p>
      <w:r>
        <w:t>A/2534/2011 - 11/11 -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