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ATAS/941/2011 vom 11. Oktober 2011</w:t>
      </w:r>
    </w:p>
    <w:p>
      <w:r>
        <w:t>GE Cour de justice, 2011-10-11, FR</w:t>
      </w:r>
    </w:p>
    <w:p>
      <w:r>
        <w:rPr>
          <w:b/>
        </w:rPr>
        <w:t xml:space="preserve">Quelle: </w:t>
      </w:r>
      <w:r>
        <w:t>https://mcp.opencaselaw.ch/entscheid/ge_gerichte_ATAS_941_2011</w:t>
      </w:r>
    </w:p>
    <w:p>
      <w:r>
        <w:t>FR: GE_GERICHTE ATAS/941/2011 du 11 octobre 2011</w:t>
      </w:r>
    </w:p>
    <w:p>
      <w:r>
        <w:t>IT: GE_GERICHTE ATAS/941/2011 del 11 ottobre 2011</w:t>
      </w:r>
    </w:p>
    <w:p>
      <w:pPr>
        <w:pStyle w:val="Heading2"/>
      </w:pPr>
      <w:r>
        <w:t>Erwägungen</w:t>
      </w:r>
    </w:p>
    <w:p>
      <w:r>
        <w:rPr>
          <w:b/>
        </w:rPr>
        <w:t>E. 31</w:t>
      </w:r>
    </w:p>
    <w:p>
      <w:r>
        <w:t>Invité à consulter les pièces et à se déterminer d’ici le 9 septembre 2011, l’assuré n’a pas réagi.</w:t>
      </w:r>
    </w:p>
    <w:p>
      <w:r>
        <w:rPr>
          <w:b/>
        </w:rPr>
        <w:t>E. 32</w:t>
      </w:r>
    </w:p>
    <w:p>
      <w:r>
        <w:t>La cause a alors été gardée à juger EN DROIT 1. Conformément à l'art. 134 al. 1 let. a ch. 2 de la loi sur l'organisation judiciaire, du 26 septembre 2010 (LOJ; RS E 2 05) en vigueur dès le 1er janvier 2011, la Chambre</w:t>
      </w:r>
    </w:p>
    <w:p>
      <w:r>
        <w:t>A/1678/2011 - 10/15 -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3. Interjeté dans les forme et délai prévus par la loi, devant l'autorité compétente, le recours est en conséquence recevable (art. 56 ss LPGA). 4. Le litige porte sur l'évolution de l'état de santé, de la capacité de travail, et partant, du taux d'invalidité de l'assuré entre la décision du 4 mai 2007 et celle du 3 mai 2011. 5.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w:t>
      </w:r>
    </w:p>
    <w:p>
      <w:r>
        <w:t>A/1678/2011 - 11/15 - instrument utile dans le cadre de la détermination du diagnostic, notamment s'agissant de la préexistence d'un trouble indépendant (ATF non publié 9C_395/07 du 15 avril 2008, consid. 2.3). 6.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En vertu de l’art. 28a al. 1er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Selon l'art. 88a RAI, en vigueur depuis le 1er mars 2004,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A/1678/2011 - 12/15 - est incapable de travailler. En outre, les données médicales constituent un élément utile pour déterminer quels travaux on peut encore, raisonnablement, exiger de l’assuré (ATF 125 V 261 consid. 4,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l'article 44 LPGA ou une expertise judiciaire (ATF 135 V 465).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(ATF non publié 9C_ 578/2009 du 29 décembre 2009 consid. 3.2 in fine). 8. Dans le cas d'espèce, l'OAI a admis en 2007 comme en 2011 que l'assuré est totalement incapable de travailler dans son activité de parqueteur depuis le 17 juin 2001. Il a déterminé en 2006 une capacité de travail de 70% dans une activité adaptée aux limitations fonctionnelles somatiques de l'assuré pour fixer le taux d'invalidité à 52 % et octroyer une demi-rente dès le 1er juillet 2002, par décision du 4 mai 2007. Pour ce faire, l'OAI s'est fondé sur l’avis du SMR du 18 janvier 2005, qui tient compte des problèmes de genoux, la question de l’alcool n’étant pas du ressort de l’AI selon le rapport final de réadaptation professionnelle du 31 octobre 2006. Ainsi, la capacité de travail résiduelle de l'assuré a été déterminée en tenant uniquement compte des troubles somatiques (gonarthroses). A défaut de stage d'orientation suivi, le SMR n'a pas défini les limitations fonctionnelles de l'assuré. Les médecins traitants de l'assuré estimaient à l'époque de l'octroi initial qu'une activité sans position accroupie ou à genoux était adaptée. Il ne fait pas de doutes que l'état de santé de l'assuré s'est aggravé depuis lors. L'augmentation importante des gonarthroses est objectivée par les constatations de la Dresse D___________ et les radiographies, qui montrent une usure totale du cartilage et une arthrose, cette aggravation s'inscrivant dans le cadre d'une importante prise de poids. Selon ce spécialiste, l'atteinte est incompatible avec le métier de parqueteur, ce que personne ne conteste, mais aussi avec toute activité impliquant une sollicitation même modérée du genou. Elle ne fixe cependant pas, en pourcent, cette capacité de travail dans une activité adaptée. De plus, l'assuré</w:t>
      </w:r>
    </w:p>
    <w:p>
      <w:r>
        <w:t>A/1678/2011 - 13/15 - souffre d'apnées du sommeil, qui impliquent une somnolence diurne et des troubles de la vigilance, sans conséquence sur l'activité de parqueteur selon le Dr V___________, mais qui sont peut-être incompatibles avec l'activité dans l'industrie et le travail à la chaine envisagés par l'OAI lors de la décision initiale, en raison du danger d'un travail sur des machines. A ce sujet, les explications complémentaires du Dr V___________ concernant l'absence de lien entre la mauvaise compliance du patient à l'utilisation de son C-PAP et les limitations dues à l'apnée sont convaincantes. A cela s'ajoutent les conséquences "en boucle" de l'état de santé de l'assuré, qui souffre de dépression, laquelle induit des rechutes dans sa consommation d'alcool, qui favorise une prise de poids, laquelle augmente les douleurs somatiques, dont l'assuré souffre plus lorsqu'il est abstinent, tout en restant déprimé malgré l'abstinence selon ses médecins. Or, l'avis du SMR n'est pas probant. Il se fonde exclusivement sur le dossier médical, sans examen du patient, mais en tenant compte d'éléments de fait erronés (absence de traitement antidépresseur, alors que le Dr S___________ traite l'assuré avec du Trittico depuis mai 2009), en se fondant sur une prémisse inexacte (la prise en compte de l'alcoolisme dans le taux d'invalidité initial), en affirmant que l'alcoolisme est primaire sur la seule base de périodes d'abstinence, ce qui est certes un élément décisif, mais dont on ne connait pas le détail, et sans expliquer les motifs qui lui permettent de s'écarter de l'avis d'autres médecins selon lesquels la toxicomanie serait secondaire. Il n'indique pas pourquoi l'alcoolisme ne peut pas être la conséquence des maladies somatiques et psychiques admises. Il ne tient pas compte des conséquences de l'apnée du sommeil, dont l'effet sur la capacité de travail est pourtant admis pour d'autres métiers que celui de parqueteur. De même, la décision de l'OAI, fondée sur cet avis médical incomplet, n'indique pas quelle activité serait adaptée, compte tenu de l'intensification des limitations fonctionnelles et de l'apnée, se contentant de reprendre l'avis du SMR selon lequel "l'alcoolisme n'a pas de conséquence invalidante au-delà de 50%". L'instruction ne permet pas de savoir si l'assuré a effectivement travaillé de 2008 à 2009, et à quel taux, ni s'il y a eu d'autres périodes d'abstinence que celle d'avril à octobre 2006, ni quelle est la sévérité de l'état dépressif. Il convient donc de procéder à examen sérieux de la situation médicale, par une expertise bi-disciplinaire somatique et psychiatrique, incluant la justification de la prise en compte ou pas, du point de vue de l'assurance-invalidité, de la toxicomanie primaire ou secondaire et, partant, de ses conséquences en terme d'obésité, puis de déterminer l'ensemble des limitations, les activités qui y sont adaptées, et à quel taux, pour finalement fixer le taux d'invalidité, en tenant compte de l'âge de l'assuré 50 ans), de l'importance des limitations et de la durée de l'activité dans le même domaine, notamment. Cette instruction complémentaire doit être effectuée par l'OAI et non par la Cour dès lors qu'il ne s'agit pas seulement d'ordonner une expertise médicale mais de</w:t>
      </w:r>
    </w:p>
    <w:p>
      <w:r>
        <w:t>A/1678/2011 - 14/15 - faire déterminer également par le service de réadaptation de l'OAI les activités adaptées, cas échéant de mettre sur pied un stage d'observation et d'orientation si la situation au niveau de l'alcoolisme le permet. 9. Le recours est ainsi partiellement admis, la décision du 3 mai 2011 est annulée et la cause est renvoyée à l'intimé pour une instruction complémentaire au sens des considérants. Le recourant, qui obtient partiellement gain de cause, a droit à une indemnité à titre de participation à ses frais et dépens, que la Cour fixe en l'espèce à 1'000 fr., compte tenu du peu d'importance des écritures déposées en en l'absence d'audience ou d'autres actes complémentaires. (art. 61 let. g LPGA ; art. 89H al. 3 LPA). L'intimé sera par ailleurs condamné à un émolument de 200 fr. (art. 69 al. 1 bis LAI).</w:t>
      </w:r>
    </w:p>
    <w:p>
      <w:r>
        <w:t>A/1678/2011 - 15/15 -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