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ATAS/940/2021 vom 13. September 2021</w:t>
      </w:r>
    </w:p>
    <w:p>
      <w:r>
        <w:t>GE Cour de justice, 2021-09-13, FR</w:t>
      </w:r>
    </w:p>
    <w:p>
      <w:r>
        <w:rPr>
          <w:b/>
        </w:rPr>
        <w:t xml:space="preserve">Quelle: </w:t>
      </w:r>
      <w:r>
        <w:t>https://mcp.opencaselaw.ch/entscheid/ge_gerichte_ATAS_940_2021</w:t>
      </w:r>
    </w:p>
    <w:p>
      <w:r>
        <w:t>FR: GE_GERICHTE ATAS/940/2021 du 13 septembre 2021</w:t>
      </w:r>
    </w:p>
    <w:p>
      <w:r>
        <w:t>IT: GE_GERICHTE ATAS/940/2021 del 13 settembre 2021</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suspension du droit à l’indemnité du recourant de 31 jours, pour chômage imputable à une faute, suite à la démission du recourant de son emploi le 19 août 2020.</w:t>
      </w:r>
    </w:p>
    <w:p>
      <w:r>
        <w:t>A/1161/2021 - 4/8 -</w:t>
      </w:r>
    </w:p>
    <w:p>
      <w:r>
        <w:rPr>
          <w:b/>
        </w:rPr>
        <w:t>E. 4</w:t>
      </w:r>
    </w:p>
    <w:p>
      <w:r>
        <w:t>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[OACI - RS 837.02]). Pour qu’un assuré puisse être sanctionné en vertu de l’art. 44 al. 1 let. b OACI, trois conditions doivent être réunies. Il faut premièrement que l’assuré ait donné lui- même son congé. Il importe ensuite qu’au moment de résilier son contrat de travail, l’assuré n’ait pas eu d’assurance préalable d’un nouvel emploi. Enfin, il faut qu’aucune circonstance ne se soit opposée à la poursuite des rapports de travail (critère de l’exigibilité).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(Boris RUBIN, op. cit., p. 309-310).</w:t>
      </w:r>
    </w:p>
    <w:p>
      <w:r>
        <w:rPr>
          <w:b/>
        </w:rPr>
        <w:t>E. 5</w:t>
      </w:r>
    </w:p>
    <w:p>
      <w:r>
        <w:t>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w:t>
      </w:r>
    </w:p>
    <w:p>
      <w:r>
        <w:rPr>
          <w:b/>
        </w:rPr>
        <w:t>E. 6</w:t>
      </w:r>
    </w:p>
    <w:p>
      <w:r>
        <w:t>En tant qu'autorité de surveillance, le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et de fixer la sanction en fonction de la faute (arrêt du Tribunal fédéral 8C_425/2014 du 12 août 2014, consid. 5.1). Selon le Bulletin LACI/IC valable dès le 1er janvier 2017, D75 (Echelle de suspensions à l’intention des caisses de chômage) n° 1.D, la résiliation du contrat de travail par l’assuré ou d’un commun accord sans être assuré d’obtenir un nouvel emploi, constitue une faute grave.</w:t>
      </w:r>
    </w:p>
    <w:p>
      <w:r>
        <w:t>A/1161/2021 - 5/8 - Selon le Bulletin LACI/IC D26,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L’exigibilité de la continuation des rapports de travail est examinée plus sévèrement que le caractère convenable d’un emploi au sens de l’art. 16 LACI (ATF 124 V 234 consid. 4b/bb, p. 238 ; arrêts du 10 mai 2013 [8C 1021/2012] consid. 2.2 ; 30 avril 2009 [8C 958/2008]). Les conditions fixées par l’art. 16 LACI n’en constituent pas moins des éléments d’appréciation importants du critère d’exigibilité. On pense ici notamment à la situation personnelle protégée par l’al. 2 let. c de cette disposition (âge, situation personnelle, santé), à l’inadéquation manifeste entre les exigences du poste et de la formation ou l’expérience professionnelle du travailleur (al. 2 let. b et d) ou au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 (arrêt du 4 septembre 2001 [C 378/00] ; Boris RUBIN, op.cit., p. 310). Le Bulletin LACI/IC D76 prescrit qu'en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divergences, des investigations complémentaires sont nécessaires (Bulletin LACI IC D5 ss). Selon le Bulletin LACI/IC D77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Ce principe doit également s’appliquer en cas de faute légère et moyenne (art. 45, al. 3, let, a et b OACI). Et aux termes du Bulletin LACI/IC D78 les facteurs pris en compte pour la détermination du degré de la faute dans la présente échelle ne sont pas exhaustifs. Ils peuvent se combiner avec d’autres facteurs aggravants ou atténuants.</w:t>
      </w:r>
    </w:p>
    <w:p>
      <w:r>
        <w:rPr>
          <w:b/>
        </w:rPr>
        <w:t>E. 7</w:t>
      </w:r>
    </w:p>
    <w:p>
      <w:r>
        <w:t>La quotité de la suspension du droit à l'indemnité de chômage dans un cas concret constitue une question relevant du pouvoir d'appréciation. La juridiction cantonale ne doit pas dans ce contexte exercer son pouvoir d'appréciation de manière</w:t>
      </w:r>
    </w:p>
    <w:p>
      <w:r>
        <w:t>A/1161/2021 - 6/8 -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w:t>
      </w:r>
    </w:p>
    <w:p>
      <w:r>
        <w:t>A/1161/2021 - 7/8 - c’est à la partie qui voulait en déduire un droit d’en supporter les conséquences (ATF 117 V 264 consid. 3), sauf si l’impossibilité de prouver un fait peut être imputée à son adverse partie (ATF 124 V 375 consid. 3).</w:t>
      </w:r>
    </w:p>
    <w:p>
      <w:r>
        <w:rPr>
          <w:b/>
        </w:rPr>
        <w:t>E. 9</w:t>
      </w:r>
    </w:p>
    <w:p>
      <w:r>
        <w:t>En l’occurrence, il est établi que le recourant a résilié de son propre chef son contrat de travail le liant à l'employeur et que celui-ci, sans cette démission, aurait gardé à son service le recourant, comme cela ressort du questionnaire à l'attention de l'employeur du 29 janvier 2021, que le recourant ne conteste pas. Le recourant fait valoir qu'il s'est senti, depuis février 2020, surveillé par sa hiérarchie, qu'il n'était pas en phase avec son responsable direct - lequel était directif, axé résultats au détriment des gens et dévalorisant avec les collègues - qu'il avait dû beaucoup travailler au moment de la fermeture de l'agence de D______ et que tout ceci avait eu un impact significatif sur sa santé et sa vie de famille ; il avait ainsi démissionné pour éviter un burn out. Or, le fait de ne pas être en phase avec son chef direct, de se sentir surveillé et d'avoir dû beaucoup travailler pendant une certaine période en raison de la fermeture d'une agence, ne constituent pas des circonstances qui pourraient s'opposer valablement à la poursuite des rapports de travail. Cela est d'autant plus vrai que l'employeur, s'il a admis que le recourant avait dû travailler dans une plus grande mesure lors de la fermeture de l'agence de D______ et avait été amené à faire des heures supplémentaires, a également précisé que ces heures avaient pu être compensées dans un délai raisonnable, selon un tableau se référant à l'année 2020, que le recourant n'a pas contesté. S'agissant enfin de l'atteinte à sa santé, le recourant a invoqué un épuisement professionnel, sans l'étayer par des documents médicaux, de sorte que si ses explications quant à une surcharge de travail stressante paraissent plausibles, un épuisement professionnel qui justifierait l'abandon d'emploi, au sens de l'art. 44 al. 1 let. b OACI précité, n'est pas suffisamment documenté. Dans ces conditions, il peut être reproché au recourant d'avoir, en démissionnant, commis une faute grave, justifiant une sanction, laquelle, dans la mesure où elle correspond au minimum de la fourchette prévue par le barème du SECO précité, soit 31 jours, ne peut qu'être confirmée.</w:t>
      </w:r>
    </w:p>
    <w:p>
      <w:r>
        <w:rPr>
          <w:b/>
        </w:rPr>
        <w:t>E. 10</w:t>
      </w:r>
    </w:p>
    <w:p>
      <w:r>
        <w:t>Partant, le recours sera rejeté. Pour le surplus, la procédure est gratuite.</w:t>
      </w:r>
    </w:p>
    <w:p>
      <w:r>
        <w:t>A/1161/2021 - 8/8 -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