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ATAS/940/2017 vom 19. Oktober 2017</w:t>
      </w:r>
    </w:p>
    <w:p>
      <w:r>
        <w:t>GE Cour de justice, 2017-10-19, FR</w:t>
      </w:r>
    </w:p>
    <w:p>
      <w:r>
        <w:rPr>
          <w:b/>
        </w:rPr>
        <w:t xml:space="preserve">Quelle: </w:t>
      </w:r>
      <w:r>
        <w:t>https://mcp.opencaselaw.ch/entscheid/ge_gerichte_ATAS_940_2017</w:t>
      </w:r>
    </w:p>
    <w:p>
      <w:r>
        <w:t>FR: GE_GERICHTE ATAS/940/2017 du 19 octobre 2017</w:t>
      </w:r>
    </w:p>
    <w:p>
      <w:r>
        <w:t>IT: GE_GERICHTE ATAS/940/2017 del 19 ottobre 2017</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prescrits par la loi, le recours est recevable (art. 56 et 60 LPGA).</w:t>
      </w:r>
    </w:p>
    <w:p>
      <w:r>
        <w:rPr>
          <w:b/>
        </w:rPr>
        <w:t>E. 3</w:t>
      </w:r>
    </w:p>
    <w:p>
      <w:r>
        <w:t>L'objet du litige porte sur le bien-fondé de la suspension du droit à l'indemnité de chômage du recourant pour n’avoir pas donné suite à l’assignation qui lui avait été remise.</w:t>
      </w:r>
    </w:p>
    <w:p>
      <w:r>
        <w:rPr>
          <w:b/>
        </w:rPr>
        <w:t>E. 4</w:t>
      </w:r>
    </w:p>
    <w:p>
      <w:r>
        <w:t>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En vertu de l’obligation qui lui incombe de diminuer le dommage causé à l’assurance-chômage, l’assuré est ainsi tenu, en règle générale, d’accepter immédiatement le travail convenable qui lui est proposé (art. 16 al. 1er et 17 al. 3 1ère phrase LACI).</w:t>
      </w:r>
    </w:p>
    <w:p>
      <w:r>
        <w:t>A/2249/2017 - 6/10 -</w:t>
      </w:r>
    </w:p>
    <w:p>
      <w:r>
        <w:rPr>
          <w:b/>
        </w:rPr>
        <w:t>E. 5</w:t>
      </w:r>
    </w:p>
    <w:p>
      <w:r>
        <w:t>a) Selon l’art. 30 al. 3 3ème phrase LACI, la durée de la suspension est proportionnelle à la gravité de la faute de l’assuré et ne peut excéder, par motif de suspension, 60 jours. Selon l’art. 45 al. 3 OACI, la durée de la suspension est de 1 à 15 jours en cas de faute légère, de 16 à 30 jours en cas de faute de gravité moyenne et de 31 à 60 jours en cas de faute grave. Il y a notamment faute grave lorsque l’assuré refuse un emploi réputé convenable sans motif valable (art. 45 al. 3 OACI) ; demeurent toutefois réservées des circonstances particulières faisant apparaître, dans le cas concret, la faute comme plus légère (ATF 130 V 125 ; SVR 2006 ALV n. 5 p. 15 [C 128/04]). La jurisprudence considère que lorsqu’un assuré peut se prévaloir d’un motif valable au sens de l’art. 45 al. 3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arrêt du Tribunal fédéral des assurances C 245/06 du 2 novembre 2007 consid. 4.1).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 b) La durée de la suspension du droit à l’indemnité de chômage est fixée compte tenu non seulement de la faute, mais également du principe de proportionnalité (arrêt du Tribunal fédéral des assurances C 254/06 du 26 novembre 2007 consid. 5.3). c) En tant qu'autorité de surveillance, le Secrétariat d'État à l'économie (ci-après :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w:t>
      </w:r>
    </w:p>
    <w:p>
      <w:r>
        <w:t>A/2249/2017 - 7/10 - Selon le barème du SECO, le refus d'un emploi convenable ou d'un emploi en gain intermédiaire à durée déterminée assigné à l'assuré ou qu'il a trouvé lui-même est considéré comme une faute grave s’il est d’une durée de six mois et plus et sanctionné d’une suspension de l'indemnité de 34 à 41 jours (Bulletin LACI IC, janvier 2017, D79 2.A ch. 9). d) Enfin, on rappellera que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6</w:t>
      </w:r>
    </w:p>
    <w:p>
      <w:r>
        <w:t>Le recourant fait valoir d’une part, que le poste proposé ne ressortait pas de son domaine, d’autre part, qu’on ne saurait lui imposer un travail de nuit. Ce faisant, il invoque le caractère non convenable du poste proposé. a. Comme le relève le SECO dans sa circulaire, la notion de « travail convenable » joue un rôle central dans l'assurance-chômage. Elle entre en jeu chaque fois que la loi implique un certain comportement de la part de l'assuré (cf. art. 15, 17, 24 et 30 LACI ; Bulletin LACI B281). L’art. 1 al. 1 LACI prévoit qu’en règle générale, l'assuré doit accepter immédiatement tout travail en vue de diminuer le dommage. Le législateur a ainsi fixé le principe selon lequel tout travail est réputé convenable; il a exhaustivement énuméré les exceptions (art. 16 al. 2 let. a à i LACI). De cela suit qu'un travail est réputé convenable si toutes les conditions énoncées à l'art. 16 al. 2 let. a à i sont exclues cumulativement (ATF 124 V 62 consid. 3b ; cf. également arrêt C 239/00 du 18 octobre 2000). b. En l'espèce, seules entrent en considération les lettres b et c de l'art. 16 al. 2 LACI. La lettre c de la disposition citée permet à l'assuré de refuser un travail qui ne conviendrait pas à son âge, à sa situation personnelle ou à son état de santé. À noter qu’une certaine flexibilité dans l'organisation du temps de travail peut être exigée en l'absence d'éléments s'y opposant, même si l'assuré bénéficiait auparavant d'un horaire plus favorable à ses yeux (dans ce sens : arrêt non publié R. du 19 avril 1999, C 326/98, consid. 2b). Un travail de nuit ou par équipe est réputé convenable dans la mesure où il convient à l'assuré compte tenu de son âge, de sa situation personnelle et de son état de santé (Bulletin LACI B289).</w:t>
      </w:r>
    </w:p>
    <w:p>
      <w:r>
        <w:t>A/2249/2017 - 8/10 - Selon l'art. 16 al. 2 lettre b LACI, n'est pas non plus convenable un travail qui ne tient pas raisonnablement compte des aptitudes de l'assuré ou de l'activité qu'il exerçait précédemment. La notion d'« aptitudes » englobe les capacités physiques, mentales et professionnelles. Est réputé convenable un travail qui n'est pas à la hauteur des aptitudes de l'assuré mais non un travail qui le dépasse (Bulletin LACI B285). On rappellera toutefois que l’assuré qui fait valoir des prestations d'assurance doit chercher du travail, au besoin en dehors de la profession qu'il exerçait précédemment (art. 17 al. 1 LACI). Le SECO considère également que l’on peut attendre des assurés de moins de 30 ans - comme c’est le cas du recourant - qu’ils acceptent aussi, dès le début de leur chômage, un emploi en dehors de l’activité qu’ils ont exercée auparavant (Bulletin LACI B286a). c. En l’espèce, force est de constater que le recourant ne fait valoir aucun élément pertinent qui permettrait de conclure qu’exiger un horaire de nuit de sa part ne serait pas convenable. Aucune obligation familiale ni problème de santé ne vient contre-indiquer un tel poste. Le fait que les horaires ne conviennent pas à l’assuré ne saurait suffire, d’autant que les arguments qu’il avance à cet égard sont peu convaincants : accepter le poste assigné ne l’aurait empêché ni de continuer son activité d’animateur extra-scolaire, ni de poursuivre ses entraînements de judo, dont les horaires sont compatibles. Certes, le poste ne correspondait pas exactement à sa cible professionnelle - ce que l’intimé ne conteste pas au demeurant. Cela ne saurait suffire cependant à le qualifier de non convenable, d’autant qu’une certaine flexibilité est attendue des assurés, surtout lorsque ceux-ci sont jeunes et, par définition, plus souples.</w:t>
      </w:r>
    </w:p>
    <w:p>
      <w:r>
        <w:rPr>
          <w:b/>
        </w:rPr>
        <w:t>E. 7</w:t>
      </w:r>
    </w:p>
    <w:p>
      <w:r>
        <w:t>Le recourant ajoute que le poste proposé requérait des compétences et une formation auxquelles il ne pouvait prétendre. Il ne fait aucun doute qu'en s'abstenant totalement de contacter l'employeur, l'assuré a réduit ses chances à néant. Même s'il doutait du succès d’une postulation, l'assuré aurait dû au moins contacter directement l'employeur pour obtenir confirmation de ce qu'il subodorait. Au lieu de cela, il a, par son inaction, compromis définitivement toutes ses chances, fussent-elles faibles. L'inaction du recourant est d'autant moins excusable qu'il avait par ailleurs dûment été informé des conséquences du non-respect de l'assignation : celles-ci figuraient de manière non équivoque sur le document qui lui a été remis le 2 novembre 2016 et dont il lui incombait de prendre connaissance. Quant au supposé malentendu invoqué, une simple consultation quotidienne de sa messagerie, comme il s’y était engagé le 16 septembre 2016, dans son plan d’action, aurait suffi à le dissiper : en effet, sa conseillère, le 2 novembre, lui avait clairement imparti un délai de deux jours pour déposer sa candidature. En conséquence, il y a lieu de retenir que le recourant n’a pas fait acte de candidature auprès de l’employeur qui lui avait été désigné, qu’il a ainsi fait</w:t>
      </w:r>
    </w:p>
    <w:p>
      <w:r>
        <w:t>A/2249/2017 - 9/10 - échouer une possibilité d’emploi et qu’il a donc commis une faute que la jurisprudence considère comme grave. Dès lors, la suspension du droit à l’indemnité prononcée par l’autorité intimée ne peut qu'être confirmée. Le recours est rejeté.</w:t>
      </w:r>
    </w:p>
    <w:p>
      <w:r>
        <w:t>A/2249/2017 - 10/10 - PAR CES MOTIFS, LA CHAMBRE DES ASSURANCES SOCIALES :</w:t>
      </w:r>
    </w:p>
    <w:p>
      <w:r>
        <w:t>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