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ATAS/940/2013 vom 24. September 2013</w:t>
      </w:r>
    </w:p>
    <w:p>
      <w:r>
        <w:t>GE Cour de justice, 2013-09-24, FR</w:t>
      </w:r>
    </w:p>
    <w:p>
      <w:r>
        <w:rPr>
          <w:b/>
        </w:rPr>
        <w:t xml:space="preserve">Quelle: </w:t>
      </w:r>
      <w:r>
        <w:t>https://mcp.opencaselaw.ch/entscheid/ge_gerichte_ATAS_940_2013</w:t>
      </w:r>
    </w:p>
    <w:p>
      <w:r>
        <w:t>FR: GE_GERICHTE ATAS/940/2013 du 24 septembre 2013</w:t>
      </w:r>
    </w:p>
    <w:p>
      <w:r>
        <w:t>IT: GE_GERICHTE ATAS/940/2013 del 24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281 al. 3 du Code de procédure civile du 19 décembre 2008 - CPC; RS 272), exécuter d'office le partage sur la base de la clé de répartition déterminée par le juge du divorce. Depuis le 1er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w:t>
      </w:r>
    </w:p>
    <w:p>
      <w:r>
        <w:t>A/633/2013 5/7</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7 août 1993, d’autre part le 18 août 2012, date à laquelle le jugement de divorce est devenu exécutoire.</w:t>
      </w:r>
    </w:p>
    <w:p>
      <w:r>
        <w:rPr>
          <w:b/>
        </w:rPr>
        <w:t>E. 5</w:t>
      </w:r>
    </w:p>
    <w:p>
      <w:r>
        <w:t>Selon les documents produits, la prestation acquise pendant le mariage par le demandeur est de 15'853 fr. 80, étant précisé que le montant reçu en espèces, afin d'exercer une activité indépendante, n'a pas à être pris en considération (ATF 129 V 251). Force est à cet égard de constater que c'est à tort que la demanderesse assimile le retrait par le demandeur d'une partie de ses avoirs LPP dans le but de s'installer à son propre compte, à la survenance d'un cas de prévoyance. L'arrêt rendu par le Tribunal fédéral le 10 mai 2010 (ATF 136 V 225) et auquel se réfère la demanderesse, concerne un époux mis au bénéfice de prestations provisoires de la caisse de pension, de sorte que le partage des avoirs ordonné par le juge du divorce était impossible, est inapplicable dans le cas d'espèce. La prestation acquise par la demanderesse pendant le mariage s'élève à 25'417 fr. 54 (24'149 fr. 94 + 14'829 fr. 50 – 13'561 fr. 90) Les intérêts ont déjà été calculés par les institutions de prévoyance défenderesses.</w:t>
      </w:r>
    </w:p>
    <w:p>
      <w:r>
        <w:t>A/633/2013 6/7 Ainsi le demandeur doit à son ex-épouse le montant de 7'926 fr. 90 (15'853 fr. 80 : 2) et celle-ci doit à celui-là le montant de 12'708 fr. 75 (25'417 fr. 54 : 2), de sorte que c’est la demanderesse qui doit au demandeur le montant de 4'781 fr. 85 (12'708 fr. 75 - 7'926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A/633/2013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