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ATAS/93/2025 vom 18. Februar 2025</w:t>
      </w:r>
    </w:p>
    <w:p>
      <w:r>
        <w:t>GE Cour de justice, 2025-02-18, FR</w:t>
      </w:r>
    </w:p>
    <w:p>
      <w:r>
        <w:rPr>
          <w:b/>
        </w:rPr>
        <w:t xml:space="preserve">Quelle: </w:t>
      </w:r>
      <w:r>
        <w:t>https://mcp.opencaselaw.ch/entscheid/ge_gerichte_ATAS_93_2025</w:t>
      </w:r>
    </w:p>
    <w:p>
      <w:r>
        <w:t>FR: GE_GERICHTE ATAS/93/2025 du 18 février 2025</w:t>
      </w:r>
    </w:p>
    <w:p>
      <w:r>
        <w:t>IT: GE_GERICHTE ATAS/93/2025 del 18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w:t>
      </w:r>
    </w:p>
    <w:p>
      <w:r>
        <w:t>A/2402/2024 - 8/15 -</w:t>
      </w:r>
    </w:p>
    <w:p>
      <w:r>
        <w:rPr>
          <w:b/>
        </w:rPr>
        <w:t>E. 2.1</w:t>
      </w:r>
    </w:p>
    <w:p>
      <w:r>
        <w:t>Le 1er janvier 2022, les modifications de la LAI du 19 juin 2020 (développement continu de l’AI ; RO 2021 705), ainsi que celles du</w:t>
      </w:r>
    </w:p>
    <w:p>
      <w:r>
        <w:rPr>
          <w:b/>
        </w:rPr>
        <w:t>E. 2.2</w:t>
      </w:r>
    </w:p>
    <w:p>
      <w:r>
        <w:t>En l’occurrence, un éventuel droit à une rente d’invalidité naîtrait au plus tôt en février 2023, soit six mois après le dépôt de la demande du 2 août 2022 (cf. art. 29 al. 1 LAI), de sorte que les dispositions légales applicables seront citées dans leur nouvelle teneur.</w:t>
      </w:r>
    </w:p>
    <w:p>
      <w:r>
        <w:rPr>
          <w:b/>
        </w:rPr>
        <w:t>E. 3</w:t>
      </w:r>
    </w:p>
    <w:p>
      <w:r>
        <w:t>Le litige porte sur le droit du recourant à des prestations de la part de l’intimé.</w:t>
      </w:r>
    </w:p>
    <w:p>
      <w:r>
        <w:rPr>
          <w:b/>
        </w:rPr>
        <w:t>E. 4</w:t>
      </w:r>
    </w:p>
    <w:p>
      <w:r>
        <w:t>À teneur de l’art. 8 LPGA, 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w:t>
      </w:r>
    </w:p>
    <w:p>
      <w:r>
        <w:t>Pour pouvoir calculer le degré d’invalidité, l’administration (ou le juge, s’il y a eu un recours) a besoin de documents qu’un médecin, éventuellement d’autres</w:t>
      </w:r>
    </w:p>
    <w:p>
      <w:r>
        <w:t>A/2402/2024 - 9/15 -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w:t>
      </w:r>
    </w:p>
    <w:p>
      <w:r>
        <w:t>A/2402/2024 - 10/15 -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w:t>
      </w:r>
    </w:p>
    <w:p>
      <w:r>
        <w:t>A/2402/2024 - 11/15 -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7</w:t>
      </w:r>
    </w:p>
    <w:p>
      <w:r>
        <w:t>En l’espèce, dans sa décision litigieuse du 24 juin 2024, l’intimé a considéré que le recourant disposait d’une entière capacité de travail dans toute activité depuis le 31 janvier 2023, de sorte qu’il ne pouvait pas prétendre à une rente d’invalidité. Cette appréciation repose sur les avis des 16 mai et 24 juin 2024 du SMR. Le recourant conteste ces conclusions et soutient que ses douleurs chroniques intenses l’empêchent de travailler à plus de 50% et qu’une reprise professionnelle progressive s’impose. Il se réfère à la détermination de sa médecin traitante.</w:t>
      </w:r>
    </w:p>
    <w:p>
      <w:r>
        <w:rPr>
          <w:b/>
        </w:rPr>
        <w:t>E. 7.1</w:t>
      </w:r>
    </w:p>
    <w:p>
      <w:r>
        <w:t>La chambre de céans constate que le Dr F______ a pris en considération l’ensemble des pièces du dossier, notamment les examens spécialisés, les documents radiologiques, les rapports du docteur G______, spécialiste FMH en chirurgie orthopédique et médecin-conseil de la SUVA, et de la médecin traitante.</w:t>
      </w:r>
    </w:p>
    <w:p>
      <w:r>
        <w:rPr>
          <w:b/>
        </w:rPr>
        <w:t>E. 7.1.1</w:t>
      </w:r>
    </w:p>
    <w:p>
      <w:r>
        <w:t>S’agissant des diagnostics, la chambre de céans relève que la Dre C______ a conclu que son examen électrophysiologie n’avait révélé aucune</w:t>
      </w:r>
    </w:p>
    <w:p>
      <w:r>
        <w:t>A/2402/2024 - 12/15 - anomalie, en particulier aucun argument pour une neuropathie ou une atteinte des petites fibres (cf. rapport du 25 mars 2022) et que la Dre D______ a relevé l’absence d’argument pour une origine artérielle et veineuse aux douleurs du membre inférieur gauche, l’absence de lésion artérielle évocatrice d’une dissection, d’un pseudo-anévrisme ou d’une fistule, l’absence de sténose ilio-fémoro-poplitée, un bilan veineux profond et superficiel dans la norme, et l’angio-CT des membres inférieurs sans argument pour un saignement actif, un pseudo-anévrisme, une fistule artério-veineuse (cf. rapport 15 juillet 2022). L’IRM cérébrale effectuée le 17 février 2023 s’est révélée dans les limites de la norme (cf. rapport du 17 février 2023), l’IRM du bassin et de la hanche gauche réalisée le 26 février 2023 a conclu à l’absence de toute anomalie significative (cf. rapport 26 février 2023), l’IRM du poignet gauche du 1er mars 2023 n’a montré aucune anomalie (cf. rapport du 6 mars 2023), et l’IRM du 28 février 2023 de la cheville gauche a mis en évidence une tendinopathie des fibulaires (cf. rapport du 4 mars 2023). La Dre E______ a considéré que toutes les investigations complémentaires réalisées dès janvier 2022, dont l’IRM de la cheville gauche qu’elle a expressément citée, étaient dans la norme, « aucune atteinte somatique expliquant les douleurs persistantes du patient » (cf. rapport du 22 décembre 2023). Elle a posé le diagnostic de douleurs chroniques post traumatiques au niveau de l’hémicorps corps (cf. rapport du 15 septembre 2022) et précisé que ces douleurs n’étaient expliquées par aucune atteinte somatique (cf. rapport du 22 décembre 2023). Partant, les conclusions du SMR, qui a retenu, à titre d’atteintes à la santé incapacitantes, des douleurs de l'hémicorps gauche sans substrat organique après un accident de la voie publique du 6 septembre 2021, n’apparaissent pas critiquables.</w:t>
      </w:r>
    </w:p>
    <w:p>
      <w:r>
        <w:rPr>
          <w:b/>
        </w:rPr>
        <w:t>E. 7.1.2</w:t>
      </w:r>
    </w:p>
    <w:p>
      <w:r>
        <w:t>En ce qui concerne les limitations fonctionnelles et la capacité de travail résiduelle de l’intéressé, il est rappelé que le médecin-conseil de la SUVA avait souligné l'absence de lésion organique mise en évidence sur les différents bilans d'imagerie, la gestion de la douleur par hypnose et autohypnose, l’absence de traitement antalgique, le status rassurant lors son examen du 31 janvier 2023 sans signe clinique asymétrique au niveau du bassin ou du poignet, et en avait conclu qu’il n'y avait pas de limitations fonctionnelles, mais qu’il serait peut-être nécessaire d'aménager pendant quelques mois l'effort en position assise statique (cf. rapport du 6 septembre 2023). La Dre E______ a exposé que le recourant avait fait des progrès « assez importants au niveau des douleurs chroniques », maitrisait les techniques d’autohypnose, avait pu être sevré de tous les médicaments antalgiques et avait commencé à reprendre lentement et progressivement ses activités de la vie quotidienne et des activités plus soutenues (cf. rapport du 19 juin 2023 adressé à</w:t>
      </w:r>
    </w:p>
    <w:p>
      <w:r>
        <w:t>A/2402/2024 - 13/15 - la SUVA). Par la suite, elle a confirmé que les séances d’hypnose avaient permis à son patient un autocontrôle suffisant des douleurs et maintenu que l’évolution était lentement favorable, puisqu’il était sevré des médicaments antalgiques et avait repris des activités légères telle que la marche de 15 à 20 minutes. Par contre, il n’arrivait à rester debout, à assis et à marcher « que quelques heures d’affilées », ce qui l’empêchait de retourner à son activité habituelle « à n’importe quel pourcentage » (cf. rapport du 22 décembre 2023). Quelques mois plus tard, elle a attesté que son patient ne pouvait reprendre ses activités professionnelles qu’au taux de 50% en raison de l’intensité des douleurs (cf. rapport du 24 mai 2024). Dans le cadre de la présente procédure, le recourant a produit un nouveau rapport de la Dre E______ attestant d’une capacité de travail de 50% correspondant à 4 heures de travail par jour, sans port de charges de plus de 10 kg, sans position assise de plus d’une heure sans possibilité de changer de position, et sans position assise de plus de 4h avec la possibilité de bouger et de faire des mouvements chaque une à deux heures (cf. rapport du 9 juillet 2024), ce qui correspond aux restrictions précédemment retenues. Le chambre de céans constate que cette évaluation de la capacité de travail n’a fait l’objet d’aucune motivation objective. La médecin traitante n’a notamment pas expliqué les raisons pour lesquelles son patient serait incapable d’exercer, durant une journée complète, une activité professionnelle permettant l’alternance des positions assise et debout, sans port de charges de plus de 10 kg. Dès lors que le recourant gère ses douleurs par des techniques d’autohypnose qu’il maîtrise (cf. rapports des 19 juin et 22 décembre 2023 de la Dre E______) et qu’il a cessé la prise d’antalgiques en tout cas depuis le mois de janvier 2023 (cf. rapport du 1er février 2923 du Dr G______), on perçoit mal pour quels motifs il ne pourrait pas exercer une activité adaptée respectant les restrictions retenues par le Dr F______ et qui correspondent à celles énoncées par la médecin traitante.</w:t>
      </w:r>
    </w:p>
    <w:p>
      <w:r>
        <w:rPr>
          <w:b/>
        </w:rPr>
        <w:t>E. 7.2</w:t>
      </w:r>
    </w:p>
    <w:p>
      <w:r>
        <w:t>Le recourant ne fait état d’aucun argument médical permettant de douter du bien-fondé des conclusions du SMR. Il considère que seule une reprise professionnelle progressive à 50% est envisageable « afin d’éviter l’aggravation » de son état de santé et d’ « ajuster le pourcentage d’incapacité de travail en fonction de l’évolution » de ses douleurs, « garantissant une meilleure réintégration à long terme » (cf. écriture du 15 juillet 2024). Ces considérations ne sont justifiées par aucun élément médical. Il est notamment rappelé que l’état de santé de l’intéressé est stable et qu’aucun médecin n’a évoqué une possible aggravation de sa situation. En outre, le recourant est apte à gérer ses douleurs résiduelles il ne prend plus aucun traitement médicamenteux depuis au moins 18 mois.</w:t>
      </w:r>
    </w:p>
    <w:p>
      <w:r>
        <w:rPr>
          <w:b/>
        </w:rPr>
        <w:t>E. 7.3</w:t>
      </w:r>
    </w:p>
    <w:p>
      <w:r>
        <w:t>Eu égard à tout ce qui précède, la chambre de céans considère qu’il peut être tenu pour établi, au degré de la vraisemblance prépondérante requis, que le recourant dispose d’une capacité de travail entière dans toute activité permettant</w:t>
      </w:r>
    </w:p>
    <w:p>
      <w:r>
        <w:t>A/2402/2024 - 14/15 - l’alternance des positions assise et debout, sans marche prolongée, dont son activité d’opérateur horloger, et ce depuis le 31 janvier 2023. À cet égard, elle observera que le recourant ne soutient pas que son dernier emploi ne respecterait pas ces restrictions.</w:t>
      </w:r>
    </w:p>
    <w:p>
      <w:r>
        <w:rPr>
          <w:b/>
        </w:rPr>
        <w:t>E. 7.4</w:t>
      </w:r>
    </w:p>
    <w:p>
      <w:r>
        <w:t>Enfin, le recourant sollicite des mesures de réadaptation, sans autre précision ni motivation. Compte tenu de l’existence d’une capacité de travail entière dans toutes activités adaptées aux limitations fonctionnelles, lesquelles consistent essentiellement en la marche prolongée et les positions statiques assise et debout de plusieurs heures, et du fait que le recourant est apte à exercer son activité habituelle, une mesure d'ordre professionnelle ne se justifie pas.</w:t>
      </w:r>
    </w:p>
    <w:p>
      <w:r>
        <w:rPr>
          <w:b/>
        </w:rPr>
        <w:t>E. 8</w:t>
      </w:r>
    </w:p>
    <w:p>
      <w:r>
        <w:t>Compte tenu de ce qui précède, le recours sera rejeté. Vu l’issue du litige, le recourant est condamné au paiement d'un émolument de CHF 200.- (art. 69 al. 1bis LAI).</w:t>
      </w:r>
    </w:p>
    <w:p>
      <w:r>
        <w:t>A/2402/2024 - 15/15 -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