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ATAS/939/2022 vom 26. Oktober 2022</w:t>
      </w:r>
    </w:p>
    <w:p>
      <w:r>
        <w:t>GE Cour de justice, 2022-10-26, FR</w:t>
      </w:r>
    </w:p>
    <w:p>
      <w:r>
        <w:rPr>
          <w:b/>
        </w:rPr>
        <w:t xml:space="preserve">Quelle: </w:t>
      </w:r>
      <w:r>
        <w:t>https://mcp.opencaselaw.ch/entscheid/ge_gerichte_ATAS_939_2022</w:t>
      </w:r>
    </w:p>
    <w:p>
      <w:r>
        <w:t>FR: GE_GERICHTE ATAS/939/2022 du 26 octobre 2022</w:t>
      </w:r>
    </w:p>
    <w:p>
      <w:r>
        <w:t>IT: GE_GERICHTE ATAS/939/2022 del 26 ottobre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1er janvier 2021 est entrée en vigueur la modification du 21 juin 2019 de la LPGA. Toutefois, dès lors que le recours était, au 1er janvier 2021, pendant devant la chambre de céans, il reste soumis à l'ancien droit (cf. art. 82a LPGA). Dans la mesure où elle porte sur les prestations perçues à tort entre le 1er novembre 2012 et le 30 septembre 2019, soit sur une période antérieure à l'entrée en vigueur le 1er janvier 2021 des modifications des 22 mars, 20 décembre</w:t>
      </w:r>
    </w:p>
    <w:p>
      <w:r>
        <w:t>A/1342/2020 - 8/19 - 2019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4</w:t>
      </w:r>
    </w:p>
    <w:p>
      <w:r>
        <w:t>Le litige porte sur le bien-fondé des décisions du 30 septembre 2019 et de celle du 2 décembre 2019.</w:t>
      </w:r>
    </w:p>
    <w:p>
      <w:r>
        <w:rPr>
          <w:b/>
        </w:rPr>
        <w:t>E. 5</w:t>
      </w:r>
    </w:p>
    <w:p>
      <w:r>
        <w:t>Il convient d’examiner en premier lieu si l’intimé pouvait demander la restitution des prestations versées en trop à la recourante et à feu son conjoint du 1er novembre 2012 au 30 septembre 2019.</w:t>
      </w:r>
    </w:p>
    <w:p>
      <w:r>
        <w:rPr>
          <w:b/>
        </w:rPr>
        <w:t>E. 5.1</w:t>
      </w:r>
    </w:p>
    <w:p>
      <w:r>
        <w:t>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139 V 106 consid. 4 non publié et les références;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140 IV 206 consid. 6.2 et les références). En matière de prestations complémentaires, ce sont principalement les art. 31 LPC (art. 16 aLPC), 146 et 148a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Il prévoit qu’est puni, à moins qu'il ne s'agisse d'un crime ou d'un délit frappé d'une peine plus élevée par le code pénal, d'une peine pécuniaire n'excédant pas</w:t>
      </w:r>
    </w:p>
    <w:p>
      <w:r>
        <w:t>A/1342/2020 - 12/19 - 180 jours-amende, celui qui manque à son obligation de communiquer au sens de l'art. 31 al. 1 LPGA et prévoit une peine pécuniaire n'excédant pas 180 jours- amendes en cas de violation du devoir d’informer. L’art. 31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(Michel VALTERIO, op. cit., n. 3 ad art. 31). L’infraction prévue à l’art. 31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Selon l’art. 148a CP, en vigueur dès le 1er octobre 2016,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Selon l'art. 97 al. 1 CP,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aux art. 31 LPC et 148a CP est donc de sept ans. En renvoyant dans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132 III 661 consid. 4.3; arrêt du Tribunal fédéral 8C_592/2007 du 20 août 2008 consid. 5.4.3 et les références). Il est également conforme à cet objectif que le point de départ du délai, au sens de l'art. 25 al. 2 phr. 2 LPGA, se détermine selon les critères établis à l'art. 98 CP (cf. ATF 138 V 74 consid. 5.2 p. 79; 126 III 382 consid. 4a/bb p. 383; arrêt 8C_592/2007 du 20 août 2008, consid. 5.4.3). Ainsi, le délai commence à courir dès le jour où l'auteur a exercé son activité coupable (let. a); dès le jour du dernier acte si cette activité s'est exercée à plusieurs reprises (let. b); dès le jour où les agissements coupables ont cessé s'ils ont eu une certaine durée (let. c). En cas de délit d'omission, le début de la prescription coïncide avec le moment où</w:t>
      </w:r>
    </w:p>
    <w:p>
      <w:r>
        <w:t>A/1342/2020 - 13/19 - l'auteur aurait dû agir (voir FRANZ WERRO, in Commentaire romand, Code des obligations I, 2 e éd. 2012, n° 35 ad art. 60 CO). Lorsque le délai de prescription de plus longue durée prévu par le droit pénal s’applique, le point de savoir si l’administration a agi dans le délai relatif d’une année peut rester ouvert (cf. arrêt du Tribunal fédéral 9C_400/2016 du 2 novembre 2016 consid. 4.1 et 5.2). Dans l’arrêt 8C_213/2016 du 4 novembre 2016, le Tribunal fédéral a jugé que Pour que le délai de plus longue durée prévu par le droit pénal s'applique,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 l'absence d'un jugement pénal, comme c'est le cas en l'espèce, il appartient au juge administratif d'examiner à titre préjudiciel si les circonstances correspondant à une infraction pénale étaient réunies et, partant, si un délai de prescription plus long que ceux prévus à l'art. 25 al. 2, 1ère phrase, LPGA était applicable en l'espèce (cf. ATF 138 V 74 consid. 6.1 p. 80; 118 V 193 consid. 4a p. 197, 113 V 256 consid. 4a p. 258; voir également ATF 122 III 225 consid. 4 p. 226). Un acte punissable au sens de l'art. 25 al. 2, 2ème phrase LPGA, suppose la réunion des éléments tant objectifs que subjectifs de l'infraction.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w:t>
      </w:r>
    </w:p>
    <w:p>
      <w:r>
        <w:rPr>
          <w:b/>
        </w:rPr>
        <w:t>E. 5.1.1</w:t>
      </w:r>
    </w:p>
    <w:p>
      <w:r>
        <w:t>La recourante a fait valoir qu’elle était âgée, qu’elle parlait le français avec grande difficulté et qu’il en allait de même pour feu son époux. Dès leur arrivée en Suisse, ils avaient été dépendants de l’aide d’autrui pour la gestion de leurs affaires administratives. Une curatrice de représentation avait été nommée entre 2005 et 2006, ce qui avait conforté le couple dans la certitude d’être en règle avec la loi. Le couple avait prouvé sa volonté d’agir honnêtement en refusant de faire appel à l’aide sociale, dès son arrivée en Suisse, malgré un niveau de vie en dessous du minimum vital. Cette volonté d’agir en toute honnêteté s’était confirmée lors de la révision périodique de mars 2019, la recourante s’étant dénoncée elle-même et ayant coopéré largement avec l’intimé. On ne pouvait raisonnablement attendre d’elle qu’elle se soit rendu compte d’erreurs faites dans les formulaires qu’elle n’avait pas remplis elle-même et dont elle ne comprenait pas le contenu. Il ne pouvait lui être imputé une intention ou une négligence concernant les faits qui lui étaient reprochés et aucune restitution ne pouvait être exigée d’elle.</w:t>
      </w:r>
    </w:p>
    <w:p>
      <w:r>
        <w:rPr>
          <w:b/>
        </w:rPr>
        <w:t>E. 5.1.2</w:t>
      </w:r>
    </w:p>
    <w:p>
      <w:r>
        <w:t>L’intimé a constaté que la recourante faisait principalement valoir sa bonne foi pour justifier qu’aucune restitution ne soit exigée. Or, il s’agissait là d’une condition de la remise qui ne pouvait être examinée avant que le fond du litige soit tranché par un arrêt entré en force.</w:t>
      </w:r>
    </w:p>
    <w:p>
      <w:r>
        <w:rPr>
          <w:b/>
        </w:rPr>
        <w:t>E. 5.2.1</w:t>
      </w:r>
    </w:p>
    <w:p>
      <w:r>
        <w:t>S'agissant des prestations complémentaires fédérales, 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142 V 259 consid. 3.2 et les références; ATF 138 V 426 consid. 5.2.1 et les références). A cet égard, la jurisprudence constante distingue la révision d'une décision entrée en force</w:t>
      </w:r>
    </w:p>
    <w:p>
      <w:r>
        <w:t>A/1342/2020 - 9/19 -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w:t>
      </w:r>
    </w:p>
    <w:p>
      <w:r>
        <w:rPr>
          <w:b/>
        </w:rPr>
        <w:t>E. 5.2.2</w:t>
      </w:r>
    </w:p>
    <w:p>
      <w:r>
        <w:t>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t>A/1342/2020 - 10/19 -</w:t>
      </w:r>
    </w:p>
    <w:p>
      <w:r>
        <w:rPr>
          <w:b/>
        </w:rPr>
        <w:t>E. 5.3</w:t>
      </w:r>
    </w:p>
    <w:p>
      <w:r>
        <w:t>En l’espèce, l’intimé a appris dans le cadre de la révision périodique du dossier de la recourante effectuée en mars 2019, que celle-ci était propriétaire avec feu son époux de biens immobiliers au Portugal et que tous deux avaient touché des rentes de l’ISS, éléments qui lui étaient inconnus. L’intimé devait tenir compte de ces éléments nouveaux et rétablir l’ordre légal en recalculant leur droit aux prestations. Cette correction ne dépendait pas de l’éventuelle bonne foi de la recourante ni d’une violation de l'obligation de renseigner.</w:t>
      </w:r>
    </w:p>
    <w:p>
      <w:r>
        <w:rPr>
          <w:b/>
        </w:rPr>
        <w:t>E. 5.4</w:t>
      </w:r>
    </w:p>
    <w:p>
      <w:r>
        <w:t>Cela étant, il convient encore d’examiner si c’est à juste titre que l’intimé a fait remonter sa demande de restitution au 1er novembre 2012.</w:t>
      </w:r>
    </w:p>
    <w:p>
      <w:r>
        <w:rPr>
          <w:b/>
        </w:rPr>
        <w:t>E. 5.4.1</w:t>
      </w:r>
    </w:p>
    <w:p>
      <w:r>
        <w:t>L’intimé a fait valoir que la recourante et feu son époux ne l’avaient pas informé du fait qu’ils étaient propriétaires de biens immobiliers au Portugal ni du fait qu’ils touchaient une rente de l’ISS et que cette omission fautive était constitutive d’une infraction pénale réprimée par l’art. 31 al. 1 let. d LPC. Compte tenu du fait que la restitution naissait d’un acte punissable pour lequel la loi pénale prévoyait un délai de prescription plus long, ce délai était déterminant. L’intimé avait repris le calcul de ses prestations complémentaires rétroactivement au 1er février 2015 ainsi que celles du dossier de feu son époux au 1er novembre 2012 en tenant compte des éléments parvenus tardivement à sa connaissance. Il résultait de ces recalculs, un montant en faveur de l’intimé de CHF 118'262.-. La recourante a fait valoir que, selon la jurisprudence, le juge administratif était lié par une décision pénale portant condamnation ou acquittement. Le Tribunal de police avait constaté l’absence de punissabilité pour la période précédant le 9 avril 2015. Dans ces circonstances, l’intimé ne pouvait se prévaloir du délai de prescription de sept ans prévu par le Code pénal</w:t>
      </w:r>
    </w:p>
    <w:p>
      <w:r>
        <w:rPr>
          <w:b/>
        </w:rPr>
        <w:t>E. 5.4.2</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140 V 521 consid. 2.1 et les références).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146 V 217 consid. 2.1 et les références;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w:t>
      </w:r>
    </w:p>
    <w:p>
      <w:r>
        <w:t>A/1342/2020 - 11/19 -</w:t>
      </w:r>
    </w:p>
    <w:p>
      <w:r>
        <w:rPr>
          <w:b/>
        </w:rPr>
        <w:t>E. 5.4.3</w:t>
      </w:r>
    </w:p>
    <w:p>
      <w:r>
        <w:t>En l'occurrence, il n’est pas contesté que la recourante n’a pas informé l’intimé du fait qu’elle et son époux étaient propriétaires de biens immobiliers au Portugal et qu’ils touchaient une rente de l’ISS, alors qu’elle ne pouvait ignorer son obligation de le faire, au vu des avertissements reçus de l’intimé au moment du traitement de la demande de prestations et à l’occasion des communications annuelles de fin d’année.</w:t>
      </w:r>
    </w:p>
    <w:p>
      <w:r>
        <w:t>A/1342/2020 - 14/19 - Au vu de ce qui précède, on doit conclure que les éléments objectifs et subjectifs de l'art. 31 al. 1 let. d LPC sont réalisés. Au moment de ses décisions de restitution du 30 septembre 2019, l’intimé n’était pas tenu par les décisions pénales qui sont intervenues par la suite. Il pouvait faire rétroagir sa prétention en restitution sur sept ans, dès lors que sa créance était née d’une infraction à l’art. 31 al. 1 let d LPC, pour lequel le droit pénal prévoit un tel délai de prescription, en application de l’art. 25 al. 2 LPGA. Contrairement à la prescription applicable dans le cadre du droit pénal, le délai de péremption prévu à l’art. 25 al. 2 LPGA se trouve sauvegardé une fois pour toute au moment de la décision de restitution (arrêt du Tribunal fédéral des assurances C 271/04 du 21 mars 2006 consid. 2.5). La situation était donc différente, sur le plan pénal, de sorte que le fait que le Ministère public, puis le Tribunal de police aient classé partiellement la procédure, en raison de la prescription pénale, ne remet pas en cause le bien-fondé de la décision de l’intimé. Il faut enfin relever que cette dernière n’est pas contraire aux décisions pénales, dans la mesure où le Ministère public a retenu dans son ordonnance de classement que la recourante avait commis une infraction à l’art. 31 al. 1 let. d LPC, en violant son obligation de renseigner, mais qu’il y avait un empêchement de procéder, car la période pénale courant du 1er novembre 2012 au 28 février 2014 était prescrite. Quant au Tribunal de police, il a classé la procédure s’agissant des faits commis entre le 1er mars 2014 et le 8 avril 2015, sans doute en raison de la prescription - ce qu’il n’est toutefois pas possible d’établir faute de jugement motivé - et il a déclaré la recourante coupable d’infraction à l’art. 148a al. 1 CP pour la période courant du 1er octobre 2016 au 30 septembre 2019 et à l’art. 31 al. 1 let. a et d LPC pour la période courant du 9 avril 2015 au 30 septembre 2016. La question de savoir si les faits reprochés à la recourante sont constitutifs d’infraction à l’art. 31 al. 1 let. a et d LPC ou à l’art. 148a al. 1 CP peut rester ouverte, puisque dans les deux cas, le délai de prescription pénale est de sept ans.</w:t>
      </w:r>
    </w:p>
    <w:p>
      <w:r>
        <w:rPr>
          <w:b/>
        </w:rPr>
        <w:t>E. 5.5</w:t>
      </w:r>
    </w:p>
    <w:p>
      <w:r>
        <w:t>En conclusion, les décisions de restitution du 30 septembre 2019, confirmées par la décision sur opposition du 11 mars 2020, étaient bien fondées.</w:t>
      </w:r>
    </w:p>
    <w:p>
      <w:r>
        <w:rPr>
          <w:b/>
        </w:rPr>
        <w:t>E. 6.1.1</w:t>
      </w:r>
    </w:p>
    <w:p>
      <w:r>
        <w:t>La recourante a fait valoir qu’elle n’avait hérité que d’un quart de l’héritage de feu son mari, décédé le 15 janvier 2015 et que sa situation patrimoniale avait ainsi été constatée de manière inexacte, puisqu’elle avait été considérée comme propriétaire de l’entier des biens immobiliers qui appartenaient au couple. L’intimé avait ainsi établi les faits de manière incorrecte. Elle n’était propriétaire que de 5/8ème (1/2 auquel s’ajoutait le 1/4 de 1/2 dont elle héritait) de la valeur vénale des biens immobiliers sis au Portugal, correspondant à CHF 73'651.50 (5/8 de EUR 98'006.- = EUR 61'253.75 au taux de 1,2024 pour 2015).</w:t>
      </w:r>
    </w:p>
    <w:p>
      <w:r>
        <w:t>A/1342/2020 - 15/19 -</w:t>
      </w:r>
    </w:p>
    <w:p>
      <w:r>
        <w:rPr>
          <w:b/>
        </w:rPr>
        <w:t>E. 6.1.2</w:t>
      </w:r>
    </w:p>
    <w:p>
      <w:r>
        <w:t>L’intimé a fait valoir qu’il avait retenu 75%, soit trois quarts de la valeur vénale des biens immobiliers sis au Portugal dès le 1er janvier 2015, si bien qu’on ne pouvait lui reprocher d’avoir fait fi du fait que la recourante avait hérité, suite au décès de son époux en 2015, un quart des biens immobiliers sis au Portugal dont elle était propriétaire pour moitié du vivant de ce dernier.</w:t>
      </w:r>
    </w:p>
    <w:p>
      <w:r>
        <w:rPr>
          <w:b/>
        </w:rPr>
        <w:t>E. 6.2</w:t>
      </w:r>
    </w:p>
    <w:p>
      <w:r>
        <w:t>En l’espèce, il est établi par pièce que la recourante était propriétaire de la moitié des biens immobiliers du couple situés au Portugal et qu’elle a hérité d’un quart de la succession de feu son époux. Il en résulte qu’au décès de celui-ci, elle était propriétaire des 5/8ème de ces biens et non de 75%, ce qui aurait été le cas si elle avait hérité de la moitié de la succession de son époux. Le montant retenu par l’intimé à titre de fortune pour la recourante suite au décès de son époux est donc erroné. La décision sur opposition devra être annulée en conséquence et la cause renvoyée à l’intimé pour nouveaux calculs du montant à restituer pour la période courant du 1er février 2015 au 30 septembre 2019 (seconde décision du 30 septembre 2019) et des prestations dès le 1er octobre 2019 (décision du 2 décembre 2019).</w:t>
      </w:r>
    </w:p>
    <w:p>
      <w:r>
        <w:rPr>
          <w:b/>
        </w:rPr>
        <w:t>E. 7.1.1</w:t>
      </w:r>
    </w:p>
    <w:p>
      <w:r>
        <w:t>Selon l’intimé, si la recourante avait fait don de sa part d’héritage à ses descendants, la valeur des biens cédés devait être prise en compte dans le calcul de ses prestations en tant que bien dessaisi, en vertu de l’art. 11 al. 1 let. g LPC. Il a confirmé en conséquence les montants retenus concernant les biens immobiliers sis au Portugal.</w:t>
      </w:r>
    </w:p>
    <w:p>
      <w:r>
        <w:rPr>
          <w:b/>
        </w:rPr>
        <w:t>E. 7.1.2</w:t>
      </w:r>
    </w:p>
    <w:p>
      <w:r>
        <w:t>La recourante a fait valoir qu’elle avait cédé le 18 septembre 2015 à ses enfants la part d’héritage de son époux qui lui revenait. Dès cette année, le montant de sa fortune immobilière devait en conséquence être ramené à CHF 58'921.20 (1/2 EUR 98'006.- au taux de 1.2024), la différence, soit l’héritage de 1/8 cédé à ses enfants, d’un montant de CHF 14'730.30 pour l’année 2015 étant à retrancher parmi les biens dessaisis. Conformément à l’art. 17a de l’ordonnance sur les prestations complémentaires à l’assurance-vieillesse, survivants et invalidité du 15 janvier 1971 (OPC-AVS/AI - RS 831.301), le montant devait être réduit de CHF 10'000.- dès la deuxième année suivant le dessaisissement. Partant, les montants retenus dans la décision sur opposition du 11 mars 2020 étaient manifestement erronés. L’intimé, qui disposait de l’ensemble des éléments topiques à sa disposition avait violé la maxime inquisitoire qui l’obligeait. Les montants retenus à titre rétroactif et pour l’avenir devaient être modifiés et le montant réclamé à la recourante au titre de restitution revu à la baisse.</w:t>
      </w:r>
    </w:p>
    <w:p>
      <w:r>
        <w:rPr>
          <w:b/>
        </w:rPr>
        <w:t>E. 7.2</w:t>
      </w:r>
    </w:p>
    <w:p>
      <w:r>
        <w:t>En vertu de l'art. 17 al. 5 OPC-AVS/AI, édicté sur la base de la délégation de compétence prévue à l'art. 3a al. 7 let. b aLPC, en cas de dessaisissement d'un immeuble, à titre onéreux ou gratuit, est déterminante la valeur vénale pour savoir</w:t>
      </w:r>
    </w:p>
    <w:p>
      <w:r>
        <w:t>A/1342/2020 - 16/19 - s'il y a renonciation à des parts de fortune au sens de l'art. 3c al. 1 let. g LPC; la valeur vénale n'est pas applicable si, légalement, il existe un droit d'acquérir l'immeuble à une valeur inférieure. En lieu et place de la valeur vénale, les cantons peuvent appliquer uniformément la valeur de répartition déterminante pour les répartitions intercantonales (art. 17 al. 6 OPC/AVS-AI). Selon la jurisprudence, lorsque le canton a fait usage de cette faculté, on ne peut en principe s'en écarter que si cette estimation se révèle abusive ou aboutit à un résultat choquant (arrêt du Tribunal fédéral 8C_591/2008 du 31 juillet 2009 consid. 3.2; arrêt du Tribunal fédéral des assurances P 55/01 du 8 avril 2002 consid. 3 et les références).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w:t>
      </w:r>
    </w:p>
    <w:p>
      <w:r>
        <w:rPr>
          <w:b/>
        </w:rPr>
        <w:t>E. 7.3</w:t>
      </w:r>
    </w:p>
    <w:p>
      <w:r>
        <w:t>En l’espèce, le dessaisissement de la recourante porte sur la part des biens immobiliers héritée de son époux. Il ne s’agit pas d’un dessaisissement d'une part de fortune, selon la jurisprudence précitée, dont on peut présumer que la recourante, si elle ne s’en était pas dessaisie, aurait mis une partie à contribution pour subvenir à ses besoins. Dans ce cas de figure, l’intimé n’avait pas à procéder à l'amortissement prévu par l'art. 17a OPC-AVS/AI.</w:t>
      </w:r>
    </w:p>
    <w:p>
      <w:r>
        <w:rPr>
          <w:b/>
        </w:rPr>
        <w:t>E. 8.1.1</w:t>
      </w:r>
    </w:p>
    <w:p>
      <w:r>
        <w:t>Le 24 mai 2022, l’intimé a indiqué concernant une éventuelle reformatio in pejus de la décision litigieuse sur la base des conclusions du rapport d’entraide interdépartementale rendu le 8 novembre 2019 par l’OCPM, que force était de constater que la durée exacte des absences de Genève de la recourante et leur fréquence n’avaient pas été établies dans le cadre de la procédure pénale. Le SPC s’en est rapporté à l’appréciation de la chambre de céans.</w:t>
      </w:r>
    </w:p>
    <w:p>
      <w:r>
        <w:t>A/1342/2020 - 17/19 -</w:t>
      </w:r>
    </w:p>
    <w:p>
      <w:r>
        <w:rPr>
          <w:b/>
        </w:rPr>
        <w:t>E. 8.1.2</w:t>
      </w:r>
    </w:p>
    <w:p>
      <w:r>
        <w:t>La recourante a demandé à être avertie en cas de reformatio in pejus afin de pouvoir retirer son recours. S’agissant du rapport d’enquête, elle a indiqué que ses séjours au Portugal coïncidaient avec les démarches liées à la vente de sa maison et qu’elle avait été tenue de produire de nombreux documents qu’elle ne pouvait se procurer à distance.</w:t>
      </w:r>
    </w:p>
    <w:p>
      <w:r>
        <w:rPr>
          <w:b/>
        </w:rPr>
        <w:t>E. 8.2</w:t>
      </w:r>
    </w:p>
    <w:p>
      <w:r>
        <w:t>Selon l’art. 4 al. 1 let. c LPC,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l'assurance-invalidité sans interruption pendant six mois au moins.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Le domicile de toute personne est au lieu où elle réside avec l'intention de s'y établir (art. 23 al. 1 CC).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Selon les DPC en vigueur dès le 1er avril</w:t>
      </w:r>
    </w:p>
    <w:p>
      <w:r>
        <w:t>A/1342/2020 - 18/19 - 2011,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w:t>
      </w:r>
    </w:p>
    <w:p>
      <w:r>
        <w:rPr>
          <w:b/>
        </w:rPr>
        <w:t>E. 8.3</w:t>
      </w:r>
    </w:p>
    <w:p>
      <w:r>
        <w:t>En l’espèce, il ne ressort pas des conclusions de l’enquête que la recourante n’aurait plus de domicile en Suisse. Le fait qu’elle partait chaque année au Portugal où elle possédait une maison pour une durée de trois à quatre mois ne suffit pas à établir qu’elle se serait constitué un nouveau domicile au Portugal, ce qu’elle conteste. Il n’y a donc pas lieu de nier son droit aux prestations complémentaires au motif qu’elle n’aurait pas été domiciliée à Genève pendant la période en cause.</w:t>
      </w:r>
    </w:p>
    <w:p>
      <w:r>
        <w:rPr>
          <w:b/>
        </w:rPr>
        <w:t>E. 9.1</w:t>
      </w:r>
    </w:p>
    <w:p>
      <w:r>
        <w:t>En conclusion, le recours est partiellement admis, la décision sur opposition du 11 mars 2020 sera annulée et la cause renvoyée à l’intimé pour nouveau calcul du montant à restituer en tenant compte du fait que la recourante n’a touché qu’un quart de la succession de feu son époux et non la moitié. L’intimé devra également reprendre le calcul du droit aux prestations complémentaires de la recourante dès le 1er janvier 2020 (décision du 2 décembre 2019).</w:t>
      </w:r>
    </w:p>
    <w:p>
      <w:r>
        <w:rPr>
          <w:b/>
        </w:rPr>
        <w:t>E. 9.2</w:t>
      </w:r>
    </w:p>
    <w:p>
      <w:r>
        <w:t>La recourante obtenant partiellement gain de cause et étant assistée d’un conseil, elle a droit à des dépens qui seront fixés à CHF 2'000.- (art. 61 let. g LPGA).</w:t>
      </w:r>
    </w:p>
    <w:p>
      <w:r>
        <w:rPr>
          <w:b/>
        </w:rPr>
        <w:t>E. 9.3</w:t>
      </w:r>
    </w:p>
    <w:p>
      <w:r>
        <w:t>La procédure est gratuite.</w:t>
      </w:r>
    </w:p>
    <w:p>
      <w:r>
        <w:t>A/1342/2020 - 19/19 -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