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ATAS/939/2018 vom 15. Oktober 2018</w:t>
      </w:r>
    </w:p>
    <w:p>
      <w:r>
        <w:t>GE Cour de justice, 2018-10-15, FR</w:t>
      </w:r>
    </w:p>
    <w:p>
      <w:r>
        <w:rPr>
          <w:b/>
        </w:rPr>
        <w:t xml:space="preserve">Quelle: </w:t>
      </w:r>
      <w:r>
        <w:t>https://mcp.opencaselaw.ch/entscheid/ge_gerichte_ATAS_939_2018</w:t>
      </w:r>
    </w:p>
    <w:p>
      <w:r>
        <w:t>FR: GE_GERICHTE ATAS/939/2018 du 15 octobre 2018</w:t>
      </w:r>
    </w:p>
    <w:p>
      <w:r>
        <w:t>IT: GE_GERICHTE ATAS/939/2018 del 15 ottobre 2018</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rPr>
          <w:b/>
        </w:rPr>
        <w:t>E. 3</w:t>
      </w:r>
    </w:p>
    <w:p>
      <w:r>
        <w:t>L’objet du litige porte sur le bien-fondé de la décision de l’intimée prononçant la mainlevée de l’opposition au commandement de payer, poursuite n° 4______ .</w:t>
      </w:r>
    </w:p>
    <w:p>
      <w:r>
        <w:rPr>
          <w:b/>
        </w:rPr>
        <w:t>E. 4</w:t>
      </w:r>
    </w:p>
    <w:p>
      <w:r>
        <w:t>a. Selon l'art. 3 al. 1 LAMal, toute personne domiciliée en Suisse doit s'assurer pour les soins en cas de maladie, ou être assurée par son représentant légal, dans les trois mois qui suivent sa prise de domicile ou sa naissance en Suisse. L’art. 1 al. 1 de l’ordonnance sur l’assurance-maladie du 27 juin 1995 (OAMal – RS 832.102) précise que les personnes domiciliées en Suisse au sens des art. 23 à 26 du Code civil suisse du 10 décembre 1907 (CC - RS 210) sont tenues de s'assurer, conformément à l'art. 3 de la loi, tout comme les ressortissants étrangers qui disposent d'une autorisation de courte durée ou d'une autorisation de séjour, au sens des art. 32 et 33 de la loi fédérale du 16 décembre 2005 sur les étrangers (LEtr – RS 142.20), valable au moins trois mois;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w:t>
      </w:r>
    </w:p>
    <w:p>
      <w:r>
        <w:rPr>
          <w:b/>
        </w:rPr>
        <w:t>E. 5</w:t>
      </w:r>
    </w:p>
    <w:p>
      <w:r>
        <w:t>a. 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w:t>
      </w:r>
    </w:p>
    <w:p>
      <w:r>
        <w:t>A/1654/2018 - 5/9 -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b.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 par année. c. L’art. 105b OAMal stipule que l'assureur envoie la sommation en cas de non- 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w:t>
      </w:r>
    </w:p>
    <w:p>
      <w:r>
        <w:rPr>
          <w:b/>
        </w:rPr>
        <w:t>E. 6</w:t>
      </w:r>
    </w:p>
    <w:p>
      <w:r>
        <w:t>a.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ATAS/663/2017 du 31 juillet 2017).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w:t>
      </w:r>
    </w:p>
    <w:p>
      <w:r>
        <w:rPr>
          <w:b/>
        </w:rPr>
        <w:t>E. 11</w:t>
      </w:r>
    </w:p>
    <w:p>
      <w:r>
        <w:t>Le recourant a requis une confrontation des parties. Cependant l’art. 29 al. 2 de la Constitution fédérale de la Confédération suisse du 18 avril 1999 (Cst – RS 101) ne donne pas à celui qui est partie à une procédure administrative le droit d’être entendu oralement (ATF 140 I 68), ce d’autant qu’en l’espèce, la cause peut être examinée et tranchée de manière adéquate sur la base des écritures des parties et des pièces au dossier. Il sera en conséquence renoncé à la tenue d’une audience de comparution personnelle des parties.</w:t>
      </w:r>
    </w:p>
    <w:p>
      <w:r>
        <w:rPr>
          <w:b/>
        </w:rPr>
        <w:t>E. 12</w:t>
      </w:r>
    </w:p>
    <w:p>
      <w:r>
        <w:t>En conséquence, le recours est rejeté. La mainlevée de l’opposition faite au commandement de payer dans la poursuite n°4______ est prononcée.</w:t>
      </w:r>
    </w:p>
    <w:p>
      <w:r>
        <w:rPr>
          <w:b/>
        </w:rPr>
        <w:t>E. 13</w:t>
      </w:r>
    </w:p>
    <w:p>
      <w:r>
        <w:t>La procédure est gratuite (art. 61 let. a LPGA). Il n’y a pas lieu à allocation d’une indemnité de procédure, ni au recourant, vu l’issue donnée au recours (art. 61 let. g LPGA), ni à l’intimée en tant qu’assureur social (Ueli KIESER, ATSG Kommentar, 3ème éd., 2015, n. 199 s. ad art. 61).</w:t>
      </w:r>
    </w:p>
    <w:p>
      <w:r>
        <w:t>A/1654/2018 - 9/9 -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