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ATAS/939/2017 vom 19. Oktober 2017</w:t>
      </w:r>
    </w:p>
    <w:p>
      <w:r>
        <w:t>GE Cour de justice, 2017-10-19, FR</w:t>
      </w:r>
    </w:p>
    <w:p>
      <w:r>
        <w:rPr>
          <w:b/>
        </w:rPr>
        <w:t xml:space="preserve">Quelle: </w:t>
      </w:r>
      <w:r>
        <w:t>https://mcp.opencaselaw.ch/entscheid/ge_gerichte_ATAS_939_2017</w:t>
      </w:r>
    </w:p>
    <w:p>
      <w:r>
        <w:t>FR: GE_GERICHTE ATAS/939/2017 du 19 octobre 2017</w:t>
      </w:r>
    </w:p>
    <w:p>
      <w:r>
        <w:t>IT: GE_GERICHTE ATAS/939/2017 del 19 ottobre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en vertu des art. 56ss LPGA.</w:t>
      </w:r>
    </w:p>
    <w:p>
      <w:r>
        <w:rPr>
          <w:b/>
        </w:rPr>
        <w:t>E. 4</w:t>
      </w:r>
    </w:p>
    <w:p>
      <w:r>
        <w:t>Le litige porte sur la question de savoir si le recourant peut se voir reconnaître le droit à une rente d’invalidité supérieure à un quart et non limitée dans le temps. Singulièrement, les questions principales à trancher portent sur l’évaluation de la capacité de travail compte tenu, notamment, de l’état dépressif diagnostiqué par le Dr K______, et sur le calcul du degré d’invalidité du recourant.</w:t>
      </w:r>
    </w:p>
    <w:p>
      <w:r>
        <w:t>A/500/2017 - 10/23 -</w:t>
      </w:r>
    </w:p>
    <w:p>
      <w:r>
        <w:rPr>
          <w:b/>
        </w:rPr>
        <w:t>E. 5</w:t>
      </w:r>
    </w:p>
    <w:p>
      <w:r>
        <w:t>Le recourant invoque, tout d’abord, une violation de son droit d’être entendu dans la mesure où ses offres de preuve et les rapports médicaux produits n’auraient pas été pris en considération, dans la décision querellée, à laquelle il reproche de n’être pas suffisamment motivée. Ce grief, de nature formelle, doit être examiné en premier lieu (ATF 127 V 431 consid. 3d/aa, 124 V 90 consid. 2 notamment). a. La jurisprudence a déduit du droit d'être entendu (art. 29 al. 2 de la Constitution fédérale de la Confédération suisse du 18 avril 1999 [Cst. -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126 I 97 consid. 2b ; 125 III 440 consid. 2a). b. En l’espèce, la décision querellée est rédigée en deux parties. Dans un premier temps, l’OAI résume les constatations sur lesquelles se fondait le projet de décision et, notamment, les revenus sans et avec invalidité. Dans un second temps, il explique le résultat de ses constatations « suite à l’audition », en d’autres termes, suite aux objections formulées par le recourant informé du projet de décision. Dans le chapitre « résultat de nos constatations », l’OAI précise, en substance, qu’il a appliqué la méthode générale de calcul pour déterminer le taux d’invalidité. Selon son SMR, la capacité de travail du recourant est certes nulle dans l’activité habituelle mais entière dans une activité adaptée aux limitations fonctionnelles, avec une baisse de rendement de 30%, et ce, depuis septembre 2015. Selon l’enquête effectuée par l’intimé, le degré d’invalidité était de 41% à l’issue du délai d’attente, ce qui donnait droit à un quart de rente. Étant donné qu’une aptitude à la réadaptation était attendue dès septembre 2015, l’intimé a procédé à une comparaison des revenus afin de déterminer le degré d’invalidité à cette date.</w:t>
      </w:r>
    </w:p>
    <w:p>
      <w:r>
        <w:t>A/500/2017 - 11/23 - L’OAI explique ensuite les montants pris en considération à titre de revenus et relève avoir pris en compte une diminution de rendement de 30% et un abattement de 10%, ce qui l’a conduit à un degré d’invalidité de 30%, insuffisant pour maintenir le droit à une rente. Dans son chapitre « résultat de nos constatations suite à l’audition », l’OAI explique notamment que l’assuré a contesté le projet de décision et qu’il lui a transmis ses observations et de nouveaux éléments médicaux, lesquels ont été soumis au SMR. Or, pour ce dernier, les pièces produites ne conduisaient à retenir ni atteintes nouvelles, ni limitations fonctionnelles supplémentaires à celles retenues précédemment. Les explications données par l’OAI sont claires : les pièces produites ne l’ont pas convaincu de modifier son appréciation. Par conséquent, conformément à la jurisprudence susmentionnée, dès lors que le recourant pouvait discerner les motifs ayant guidé la décision de l’OAI, le droit à une décision motivée a été respecté. Pour ces motifs, le grief de violation du droit d’être entendu doit être écarté.</w:t>
      </w:r>
    </w:p>
    <w:p>
      <w:r>
        <w:rPr>
          <w:b/>
        </w:rPr>
        <w:t>E. 6</w:t>
      </w:r>
    </w:p>
    <w:p>
      <w:r>
        <w:t>Le recourant conteste ensuite le degré d’invalidité retenu par l’intimé.</w:t>
      </w:r>
    </w:p>
    <w:p>
      <w:r>
        <w:rPr>
          <w:b/>
        </w:rPr>
        <w:t>E. 7</w:t>
      </w:r>
    </w:p>
    <w:p>
      <w:r>
        <w:t>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b.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8</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A/500/2017 - 12/23 -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Le Tribunal fédéral fait généralement preuve de réserve avant de reconnaître le caractère invalidant d'un trouble de la lignée dépressive. Il a notamment précisé récemment que les troubles légers et moyens de la lignée dépressive, qu'ils soient</w:t>
      </w:r>
    </w:p>
    <w:p>
      <w:r>
        <w:t>A/500/2017 - 13/23 -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2ème phrase LPGA (ATF 140 V 193 consid. 3.3 et les références; voir également arrêts du Tribunal fédéral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t>A/500/2017 - 14/23 - Sans remettre en cause le principe de la libre appréciation des preuves, le Tribunal fédéral des assurances a posé des lignes directrices en ce qui concerne la manière d'apprécier certains types d'expertises ou de rapports médicaux.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w:t>
      </w:r>
    </w:p>
    <w:p>
      <w:r>
        <w:t>A/500/2017 - 15/23 -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w:t>
      </w:r>
    </w:p>
    <w:p>
      <w:r>
        <w:rPr>
          <w:b/>
        </w:rPr>
        <w:t>E. 10</w:t>
      </w:r>
    </w:p>
    <w:p>
      <w:r>
        <w:t>a. En l’espèce, le recourant a dans un premier temps reproché à l’intimé d’avoir procédé à une constatation inexacte des faits en ne prenant pas en considération la dépression pour apprécier sa capacité de travail. Par la suite, il a fait valoir que les appréciations du Dr K______ ne devaient pas être prises en considération, dès lors que ce médecin ne l’avait pas personnellement examiné. Pour sa part, l’intimé considère que les symptômes relatés par le médecin sont insuffisants pour retenir le diagnostic de trouble dépressif de gravité moyenne. À titre liminaire, il y a lieu de rappeler que, selon une jurisprudence récente, un trouble dépressif d’intensité légère ou moyenne n’est en général pas invalidant, sauf s’il est résistant aux différentes thérapies. (ATF 140 V 193 consid. 3.3 ; voir également arrêts du Tribunal fédéral 9C_146/2015 du 19 janvier 2016 consid. 3.2 et 9C_13/2016 du 14 avril 2016 consid. 4.2). Cela étant, la Chambre de céans constate, tout comme le SMR, que les symptômes énumérés par le Dr K______ ne sont pas suffisants pour pouvoir poser le diagnostic d’épisode dépressif d’intensité moyenne (CIM-10 ; F32.1). En effet, le psychiatre traitant ne mentionne que quatre symptômes au maximum alors que c’est un total de six qui doit être retrouvé pour pouvoir poser un tel diagnostic. L’intensité du trouble n’est ainsi pas établie à satisfaction de droit. Vraisemblablement conscient de cela, le recourant a argué qu’il n’avait pas été suivi par le Dr K______ mais par Madame L______, psychologue au sein du même cabinet. Cela ne saurait suffire pour pallier les carences du rapport du psychiatre précité. En effet, le recourant a indiqué, dans son mémoire de recours, que le Dr K______ était son psychiatre traitant, sans mentionner alors Madame L______, pas plus qu’il ne l’a fait lorsque l’OAI a proposé de poser des questions au Dr K______ ou lorsque la Chambre de céans s’est adressée au médecin précité. Quoi qu’il en soit, un diagnostic psychique doit être posé par un spécialiste en psychiatrie, ce qui n’est pas le cas de la psychologue précitée, qui a au demeurant certainement consigné ses constatations dans un dossier. S’agissant des appréciations du Dr K______, force est en outre de constater qu’aucun élément ne permet de considérer que le trouble dépressif, pour autant qu’on admette ce diagnostic, a résisté au traitement. Jusqu’en juin 2016, le recourant n’était suivi par aucun psychiatre. Depuis cette date, il est suivi par une psychologue, à raison d’une séance par mois seulement. Enfin, le Dr K______ n’a pas voulu se prononcer sur la capacité de travail en l’absence d’une observation</w:t>
      </w:r>
    </w:p>
    <w:p>
      <w:r>
        <w:t>A/500/2017 - 16/23 - professionnelle. Ces éléments, pris ensemble, démontrent que l’état psychique du recourant n’est pas d’une gravité telle qu’il entraîne per se une incapacité de travail. Partant, conformément à la jurisprudence fédérale susmentionnée, le trouble psychique invoqué par le recourant ne peut être considéré comme invalidant. C’est donc à juste titre que l’intimé a apprécié sa capacité de travail sur la base des seules atteintes somatiques. b. Quant à la récidive du syndrome du tunnel carpien et au pouce à ressaut, il ne s’agit pas d’atteintes durablement incapacitantes, dès lors qu’une intervention chirurgicale - repoussée par le recourant - pourrait y remédier. Par ailleurs, les limitations fonctionnelles retenues par le Dr C______, notamment s’agissant des mouvements de préhension, épargnent suffisamment les mains du recourant. c. Au vu de ce qui précède, c’est à juste titre que l’intimé a considéré qu’en date du 1er septembre 2015, une reconversion professionnelle pouvait être attendue du recourant et qu’une capacité de travail entière avec une diminution de rendement de 30% était exigible dans une activité adaptée aux limitations fonctionnelles.</w:t>
      </w:r>
    </w:p>
    <w:p>
      <w:r>
        <w:rPr>
          <w:b/>
        </w:rPr>
        <w:t>E. 11</w:t>
      </w:r>
    </w:p>
    <w:p>
      <w:r>
        <w:t>Il convient à présent d’examiner le calcul du degré d’invalidité. a. Pour évaluer celui-ci,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p. 337 et les références). b/aa.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w:t>
      </w:r>
    </w:p>
    <w:p>
      <w:r>
        <w:t>A/500/2017 - 17/23 - d'affaires ne se traduit donc pas par une diminution proportionnelle du bénéfice. De telles circonstances nécessitent bien plutôt l'examen concret de la situation de la personne assuré (arrêt du Tribunal fédéral 9C_44/2011 du 1er septembre 2011 consid. 4.2 et 4.3). b/bb.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1er septembre 2011 consid. 3.3 et les références). b/cc.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Concrètement, il y a lieu de pondérer les activités exercées par l'indépendant en appliquant à chaque activité le salaire de référence usuel dans la branche. On peut ainsi déterminer le revenu d'une personne non invalide et le revenu d'invalide et effectuer une comparaison des revenus (Circulaire de l'OFAS concernant l'invalidité et l'impotence de l'assurance-invalidité établie [CIIAI], ch. 3105s).</w:t>
      </w:r>
    </w:p>
    <w:p>
      <w:r>
        <w:t>A/500/2017 - 18/23 - L'incidence des empêchements dans les diverses activités sur la capacité de gain se détermine selon la formule applicable pour la méthode extraordinaire d'évaluation de l'invalidité, conformément à la jurisprudence (ATF 128 V 29 consid. 4a) : T1 x B1 x S1 + T2 x B2 x S2 + T3 x B3 x S3 + T4 x B4 x S4 = taux d'invalidité T1 x S1 + T2 x S2 + T3 x S3 + T4 x S4 T correspond à la part consacrée à chacun des champs d'activités du travail en cause par rapport au temps total (= T1 + T2 + T3 + T4 = 100%) en pour cent, B à l'incapacité de travail dans chacune des activités et S au revenu pour l'activité correspondante.</w:t>
      </w:r>
    </w:p>
    <w:p>
      <w:r>
        <w:rPr>
          <w:b/>
        </w:rPr>
        <w:t>E. 12</w:t>
      </w:r>
    </w:p>
    <w:p>
      <w:r>
        <w:t>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13</w:t>
      </w:r>
    </w:p>
    <w:p>
      <w:r>
        <w:t>a. En l’espèce, l’OAI a calculé le degré d’invalidité du recourant en appliquant la méthode ordinaire. Pour déterminer le revenu avec invalidité, il s’est fondé sur le résultat d’exploitation de l’année 2015 (cf. note de travail du 11 février 2016, pce 37 OAI). Quand bien même le recourant dispose encore d’une capacité de travail dans son activité habituelle, on ne peut procéder, comme l’a fait l’intimé, en comparant les résultats d’exploitation avant et après invalidité. En effet, les données comptables de l'entreprise du recourant ne sauraient constituer une base valable pour évaluer son incapacité de gain, car elles ne permettent pas de distinguer la part du revenu qui résulte exclusivement de la prestation personnelle de travail du recourant de celle qu'il faut attribuer à des facteurs étrangers : l’assuré a en effet été contraint de sous-traiter une partie de ses activités, ce qui a contribué de manière prépondérante à la réalisation du chiffre d'affaires de l'entreprise et, partant, de son bénéfice d'exploitation ; il n’est dès lors pas possible de tirer de ces chiffres une appréciation pertinente des effets sur la capacité personnelle de gain de l'assuré de la diminution de sa capacité de rendement due à l'invalidité. En tout état de cause, l'incapacité de gain du recourant ne saurait se confondre avec la diminution du bénéfice d'exploitation de son entreprise, dans la mesure où ce raisonnement fait fi des circonstances - étrangères à l'invalidité - qui ont influencé celui-ci, soit, notamment, la sous-traitance d’une grande partie des travaux, l’engagement de personnel temporaire ou encore, la perte d'une partie de la clientèle.</w:t>
      </w:r>
    </w:p>
    <w:p>
      <w:r>
        <w:t>A/500/2017 - 19/23 - Ainsi, en l'occurrence, seule la procédure extraordinaire d'évaluation de l'invalidité est de nature à permettre une évaluation conforme au droit des effets de l'atteinte à la santé sur la capacité de gain de l'assuré. b. Il a d’ailleurs été procédé, dans le rapport d’enquête du 8 décembre 2015, à une comparaison des champs d’activité. Le recourant n’a contesté ni la pondération des activités, ni les incapacités de travail retenues dans chaque domaine :</w:t>
      </w:r>
    </w:p>
    <w:p>
      <w:r>
        <w:t>champ d’activité avant l’atteinte à la santé pondération sans handicap taux d’incapacité incapacité de travail direction, administration 15% 0% 0% peinture – travaux légers 15% 0% 0% peinture – travaux lourds 70% 100% 70% total 100%</w:t>
      </w:r>
    </w:p>
    <w:p>
      <w:r>
        <w:t>70%</w:t>
      </w:r>
    </w:p>
    <w:p>
      <w:r>
        <w:t>Comme indiqué ci-dessus, il y a désormais lieu de déterminer le salaire statistique relatif à chaque champ d’activité selon l’ESS 2012, étant précisé que, lorsque les revenus avec et sans invalidité sont basés sur la même tabelle statistique, il est superflu de les chiffrer avec exactitude. Il est ainsi inutile d’indexer ces chiffres et de les adapter à l'horaire hebdomadaire de travail en 2015. Les parties ne se sont pas prononcées sur les tables ESS applicables. Toutefois, pour des raisons d’économie de procédure et compte tenu du fait que les trois tables pouvant entrer en ligne de compte (TA1_tirage_skill_level ; T1_tirage_Skill_level et TA17) tendent toutes au même résultat, la Cour de céans renonce au renvoi de la cause. Si l’on se base sur la table T17 de l’ESS 2012 - la moins favorable au recourant -, il convient de retenir le revenu d’un homme âgé de plus de 50 ans, exerçant des activités de type administratif (ligne 4, CHF 6'244.- x 12 = CHF 74'928.-), respectivement des métiers qualifiés du bâtiment et assimilés (ligne 71 ; CHF 6'239.- x 12 = CHF 74'868.-). On obtient le calcul suivant : champ d'activité pondération sans handicap (T) incapacité de travail (B) revenu annuel (S) direction, administration 15% 0% CHF 74'928.- peinture – travaux légers 15% 0% CHF 74'868.- peinture – travaux lourds 70% 100% CHF 74'868.- total 100 %</w:t>
      </w:r>
    </w:p>
    <w:p>
      <w:r>
        <w:t>En se fondant sur ces revenus, le taux d’invalidité du recourant se calcule ainsi : (15% x 0% x CHF 74'928.00) + (15% x 0% x CHF 74'868.00) + (70% x 100% x CHF 74'868.00) = taux d'invalidité</w:t>
      </w:r>
    </w:p>
    <w:p>
      <w:r>
        <w:t>A/500/2017 - 20/23 - (15% x CHF 74'928.00) + (15% x CHF 74'868.00) + (70% x CHF 74'868.00) soit: CHF 0.00 + CHF 0.00 + CHF 52'408.00 = taux d'invalidité CHF 11'239.00 + CHF 11'230.00 + CHF 52'408.00 soit : CHF 52'408.00 = taux d'invalidité CHF 74'877.00 soit 0.6999, ce qui correspond à 69.99 %, arrondi à 70%, étant précisé que le montant de CHF 52'408.- correspond à la perte de gain et celui de CHF 74'877.- au revenu sans invalidité, le revenu avec invalidité s’élevant, dans le cas présent, à CHF 22'469.- (CHF 74'877.- – CHF 52'408.-). La question de l’abattement peut rester ouverte, dès lors que, même sans réduction, le degré d’invalidité obtenu ouvre droit à une rente entière. c. Ainsi, ce n’est pas un quart de rente qui devait être octroyé au recourant, mais bien une rente entière. Sur ce point, le recours est bien fondé. Reste à examiner si ce droit à la rente doit être limité dans le temps, comme le soutient l’intimé.</w:t>
      </w:r>
    </w:p>
    <w:p>
      <w:r>
        <w:rPr>
          <w:b/>
        </w:rPr>
        <w:t>E. 14</w:t>
      </w:r>
    </w:p>
    <w:p>
      <w:r>
        <w:t>Se pose à cet égard la question de savoir s’il peut être exigé du recourant qu’il change de profession pour réduire le dommage.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w:t>
      </w:r>
    </w:p>
    <w:p>
      <w:r>
        <w:t>A/500/2017 - 21/23 - équilibré et la durée prévisible des rapports de travail (arrêts du Tribunal fédéral des assurances I 750/04 du 5 avril 2006 consid. 5.3, in SVR 2007 IV n° 1 p. 1; I 11/00 du 22 août 2001 consid. 5a/bb, in VSI 2001 p. 274). b.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MARC HÜRZELER, Prävention im Haftpflicht- und Sozialversicherungsrecht, in Prävention im Recht, 2007, p. 172ss).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(RCC 1983 p. 246 ; voir également arrêt du Tribunal fédéral 8C_748/2008 du 10 juin 2009 consid. 4).</w:t>
      </w:r>
    </w:p>
    <w:p>
      <w:r>
        <w:rPr>
          <w:b/>
        </w:rPr>
        <w:t>E. 15</w:t>
      </w:r>
    </w:p>
    <w:p>
      <w:r>
        <w:t>a. En l’espèce, d'un point de vue objectif, rien ne fait obstacle à ce que le recourant change d'activité professionnelle. Âgé de près de 55 ans au moment de la décision</w:t>
      </w:r>
    </w:p>
    <w:p>
      <w:r>
        <w:t>A/500/2017 - 22/23 - litigieuse, il n'avait pas atteint l'âge à partir duquel la jurisprudence considère généralement qu'il n'existe plus de possibilité réaliste de mise en valeur de la capacité résiduelle de travail sur un marché de l'emploi supposé équilibré (cf. arrêts 9C_918/2008 du 28 mai 2009 consid. 4.2.2, 9C_437/2008 du 19 mai 2009 consid. 4 et I 819/04 du 27 mai 2005 consid. 2.2 et les références). Il n’a été indépendant que pendant cinq ans. Par ailleurs, il ne semble pas que le choix de postes de travail exigibles soit si limité qu'il rende très incertaine la possibilité de trouver un emploi dans un lieu proche de son domicile. Enfin, selon la comparaison des revenus effectuée par l’intimé, qui ne prête au demeurant le flanc à aucune critique, en cas de changement de profession, la perte de gain conduirait à une invalidité de 30%, insuffisante pour donner droit à une rente d’invalidité. Dans ces circonstances, un changement d'activité professionnelle est donc raisonnablement exigible, compte tenu de la diminution du dommage que l'on peut en attendre (rente entière vs pas de rente). On ajoutera encore que l'exigibilité d'une nouvelle activité professionnelle à temps partiel n'est pas incompatible avec la poursuite, par le recourant, de son activité (réduite) en tant que peintre. Par conséquent, l'obligation de réduire le dommage incombant au recourant n'implique pas nécessairement la cessation totale de son activité indépendante. Il s'ensuit que c’est à bon droit que l’intimé a appliqué la méthode ordinaire de comparaison des revenus pour évaluer l'invalidité à compter du 1er septembre 2015 et qu’il a retenu un degré d’invalidité de 30%. b. Pour fixer la date à partir de laquelle une reconversion était possible, l’intimé s’est fondé sur une note téléphonique résumant les déclarations du Dr C______ telles que comprises et interprétées par la gestionnaire du dossier. On ne saurait cependant se fonder sur ce document, non corroboré par les rapports du Dr C______. Il convient bien plutôt de retenir la date du 17 février 2016, à laquelle ce médecin a souscrit à une reconversion professionnelle. Dès lors, en application de l’art. 88a RAI, l’OAI ne pouvait supprimer la rente avant le 31 mai 2016, la comparaison des revenus conduisant à un degré d’invalidité inférieur à 40%.</w:t>
      </w:r>
    </w:p>
    <w:p>
      <w:r>
        <w:rPr>
          <w:b/>
        </w:rPr>
        <w:t>E. 16</w:t>
      </w:r>
    </w:p>
    <w:p>
      <w:r>
        <w:t>Il ressort de ce qui précède que c’est à juste titre que l’intimé a limité le droit à la rente dans le temps. Cependant, en application de la méthode extraordinaire qu’il aurait dû appliquer, c’est une rente entière - et non un quart - qui aurait dû être versée au recourant durant un laps de temps limité. En ce sens, le recours est admis et la décision querellée annulée. Le recourant doit être mis au bénéfice d’une rente entière et ce, du 1er avril 2015 au 31 mai 2016. Le recourant obtenant partiellement gain de cause, une indemnité de CHF 2'500.- lui est accordée à titre de participation à ses frais et dépens (art. 61 let. g LPGA ;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A/500/2017 - 23/23 -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