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ATAS/938/2019 vom 15. Oktober 2019</w:t>
      </w:r>
    </w:p>
    <w:p>
      <w:r>
        <w:t>GE Cour de justice, 2019-10-15, FR</w:t>
      </w:r>
    </w:p>
    <w:p>
      <w:r>
        <w:rPr>
          <w:b/>
        </w:rPr>
        <w:t xml:space="preserve">Quelle: </w:t>
      </w:r>
      <w:r>
        <w:t>https://mcp.opencaselaw.ch/entscheid/ge_gerichte_ATAS_938_2019</w:t>
      </w:r>
    </w:p>
    <w:p>
      <w:r>
        <w:t>FR: GE_GERICHTE ATAS/938/2019 du 15 octobre 2019</w:t>
      </w:r>
    </w:p>
    <w:p>
      <w:r>
        <w:t>IT: GE_GERICHTE ATAS/938/2019 del 15 ottobre 2019</w:t>
      </w:r>
    </w:p>
    <w:p>
      <w:pPr>
        <w:pStyle w:val="Heading2"/>
      </w:pPr>
      <w:r>
        <w:t>Erwägungen</w:t>
      </w:r>
    </w:p>
    <w:p>
      <w:r>
        <w:rPr>
          <w:b/>
        </w:rPr>
        <w:t>E. 1</w:t>
      </w:r>
    </w:p>
    <w:p>
      <w:r>
        <w:t>Au 1er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divorce étant effectif après l'entrée en vigueur, le 1er janvier 2017, des nouvelles dispositions relatives au partage de la prévoyance professionnelle en cas de divorce, la chambre de céans applique les dispositions légales dans leur nouvelle teneur (art. 7d Tit. fin. CC).</w:t>
      </w:r>
    </w:p>
    <w:p>
      <w:r>
        <w:t>A/2874/2019 3/7</w:t>
      </w:r>
    </w:p>
    <w:p>
      <w:r>
        <w:rPr>
          <w:b/>
        </w:rPr>
        <w:t>E. 2</w:t>
      </w:r>
    </w:p>
    <w:p>
      <w:r>
        <w:t>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Selon l'art. 22 al. 1 LFLP (dans sa teneur en vigueur depuis le 1er janvier 2017), en cas de divorce, les prestations de sortie et les parts de rente sont partagées conformément aux art. 122 à 124e du CC et 280 et 281 du CPC;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w:t>
      </w:r>
    </w:p>
    <w:p>
      <w:r>
        <w:rPr>
          <w:b/>
        </w:rPr>
        <w:t>E. 2.2</w:t>
      </w:r>
    </w:p>
    <w:p>
      <w:r>
        <w:t>p. 404; 132 V 337 consid. 2.2 p. 341 ; 9C_388/2009). Tel était déjà le cas sous l’empire de l’ancien droit, selon lequel les Tribunaux cantonaux d'assurances sociales était certes compétents pour exécuter le partage selon la clé de répartition fixée par le juge civil, mais ne pouvaient se substituer au juge civil pour déterminer la clé de répartition (ATF 132 III 401 consid. 2.2 p. 404; 132 V 337 consid. 2.2 p. 341 ; 9C_388/2009). Aussi la chambre de céans ne peut-elle que refuser d’entrer en matière, faute de compétence. La cause sera transmise d’office au Tribunal de première instance (arrêt du Tribunal fédéral 9C_737/2010 ; ATAS/85/2018). Aucun émolument ne sera perçu, la procédure étant gratuite (art. 73 al. 2 LPP et 89H al. 1 de la loi sur la procédure administrative du 12 septembre 1985 (LPA-GE - E 5 10). ***</w:t>
      </w:r>
    </w:p>
    <w:p>
      <w:r>
        <w:t>A/2874/2019 7/7</w:t>
      </w:r>
    </w:p>
    <w:p>
      <w:r>
        <w:t>PAR CES MOTIFS, LA CHAMBRE DES ASSURANCES SOCIALES :</w:t>
      </w:r>
    </w:p>
    <w:p>
      <w:r>
        <w:rPr>
          <w:b/>
        </w:rPr>
        <w:t>E. 3</w:t>
      </w:r>
    </w:p>
    <w:p>
      <w:r>
        <w:t>En l'occurrence, se pose tout d'abord la question de la reconnaissance du divorce attesté par notaire en France. a. S'agissant de la reconnaissance des jugements de divorce étrangers, il convient de se référer à la loi fédérale sur le droit international privé du 18 mars 1987 (LDIP). Selon l'art. 25 LDIP, une décision étrangère est reconnue en Suisse : a. si la compétence des autorités judiciaires ou administratives de l’État dans lequel la décision a été rendue était donnée; b. si la décision n’est plus susceptible de recours ordinaire ou si elle est définitive; c. s’il n’y a pas de motif de refus au sens de l’art. 27. L'art. 27 LDIP précise que la reconnaissance d’une décision étrangère doit être refusée si elle est manifestement incompatible avec l’ordre public suisse. La reconnaissance d’une décision doit également être refusée si une partie établit : a. qu’elle n’a été citée régulièrement, ni selon le droit de son domicile, ni selon le droit de sa résidence habituelle, à moins qu’elle n’ait procédé au fond sans faire de réserve;</w:t>
      </w:r>
    </w:p>
    <w:p>
      <w:r>
        <w:t>A/2874/2019 4/7 b. que la décision a été rendue en violation de principes fondamentaux ressortissant à la conception suisse du droit de procédure, notamment que ladite partie n’a pas eu la possibilité de faire valoir ses moyens; c. qu’un litige entre les mêmes parties et sur le même objet a déjà été introduit en Suisse ou y a déjà été jugé, ou qu’il a précédemment été jugé dans un Etat tiers, pour autant que cette dernière décision remplisse les conditions de sa reconnaissance. Au surplus, la décision étrangère ne peut faire l’objet d’une révision au fond. L'art. 29 LDIP définit la procédure de la reconnaissance des décisions étrangères, comme suit : "La requête en reconnaissance ou en exécution sera adressée à l’autorité compétente du canton où la décision étrangère est invoquée. Elle sera accompagnée : a. d’une expédition complète et authentique de la décision; b. d’une attestation constatant que la décision n’est plus susceptible de recours ordinaire ou qu’elle est définitive, et c. en cas de jugement par défaut, d’un document officiel établissant que le défaillant a été cité régulièrement et qu’il a eu la possibilité de faire valoir ses moyens (al. 1). La partie qui s’oppose à la reconnaissance et à l’exécution est entendue dans la procédure; elle peut y faire valoir ses moyens (al. 2). Lorsqu’une décision étrangère est invoquée à titre préalable, l’autorité saisie peut statuer elle-même sur la reconnaissance (al. 3)." b. Il appartient ainsi à la chambre de céans de statuer, à titre préjudiciel, sur la reconnaissance en Suisse du divorce attesté par le notaire français comme étant effectif à compter du 22 juillet 2019. Le Tribunal fédéral des assurances (TFA) a à cet égard confirmé qu'en pareil cas, la juridiction saisie peut faire usage de la faculté réservée par l'art. 29 al. 3 LDIP et statuer elle-même à titre préjudiciel sur la reconnaissance en Suisse du divorce prononcé à l'étranger (ATF 6 S.438/2004 du</w:t>
      </w:r>
    </w:p>
    <w:p>
      <w:r>
        <w:rPr>
          <w:b/>
        </w:rPr>
        <w:t>E. 8</w:t>
      </w:r>
    </w:p>
    <w:p>
      <w:r>
        <w:t>juin 2005 ; cf. également SJ 2002 II p. 397 et ss.). 4. Le divorce des demandeurs a en l’occurrence été attesté par notaire en France conformément aux art. 229 et 229-1 du Code civil français, selon lesquels « Les époux peuvent consentir mutuellement à leur divorce par acte sous signature privée contresigné par avocats, déposé au rang des minutes d'un notaire. Le divorce peut être prononcé en cas : - soit de consentement mutuel, dans le cas prévu au 1° de l'article 229-2 ; - soit d'acceptation du principe de la rupture du mariage ; - soit d'altération définitive du lien conjugal ; - soit de faute.</w:t>
      </w:r>
    </w:p>
    <w:p>
      <w:r>
        <w:t>A/2874/2019 5/7 Lorsque les époux s'entendent sur la rupture du mariage et ses effets, ils constatent, assistés chacun par un avocat, leur accord dans une convention prenant la forme d'un acte sous signature privée contresigné par leurs avocats et établi dans les conditions prévues à l'article 1374. Cette convention est déposée au rang des minutes d'un notaire, qui contrôle le respect des exigences formelles prévues aux 1° à 6° de l'article 229-3. Il s'assure également que le projet de convention n'a pas été signé avant l'expiration du délai de réflexion prévu à l'article 229-4. Ce dépôt donne ses effets à la convention en lui conférant date certaine et force exécutoire ». 5. La convention de divorce par consentement mutuel signée le 12 juillet 2019 par les demandeurs prévoit que « le deuxième pilier de M. A______ constitué pendant le cours du mariage sera réparti entre les époux selon les modalités du droit suisse ». La clé de répartition est ainsi clairement donnée. Il y a toutefois lieu de rappeler que selon l’art. 64 al. 1 et al. 1bis LDIP, entré en vigueur le 1er janvier 2017, « Les tribunaux suisses sont compétents pour connaître d'une action en complément ou en modification d'un jugement de divorce ou de séparation de corps s'ils ont prononcé ce jugement ou s'ils sont compétents en vertu des art. 59 ou 60. Sont réservées les dispositions de la présente loi sur la protection des mineurs (art. 85). Pour connaître du partage de prétentions de prévoyance professionnelle envers une institution suisse de prévoyance professionnelle, la compétence des tribunaux suisses est exclusive. En l'absence de compétence au sens de l'al. 1, les tribunaux suisses du siège de l'institution de prévoyance sont compétents ». Le message du Conseil fédéral concernant la révision du Code civil suisse (partage de la prévoyance professionnelle en cas de divorce) du 29 mai 2013 précise, concernant ces dispositions, que le tribunal suisse compétent pour connaître d’une action en divorce l’est également pour se prononcer sur les effets accessoires et partant également pour se prononcer sur le partage de la prévoyance professionnelle. La compétence du tribunal suisse est par ailleurs exclusive en ce qui concerne les avoirs détenus auprès d’une institution de prévoyance suisse, même si le jugement de divorce a été prononcé à l'étranger, si bien que le partage des prétentions devra impérativement avoir lieu devant un tribunal suisse (FF 2013 4379 s.). Il résulte de ce qui précède que c'est le juge compétent en matière de divorce qui l’est également pour se prononcer sur le partage des prétentions de prévoyance professionnelle, lorsque le divorce a été prononcé à l'étranger, et que la chambre des assurances sociales est, partant, incompétente en la matière.</w:t>
      </w:r>
    </w:p>
    <w:p>
      <w:r>
        <w:t>A/2874/2019 6/7 La compétence qui lui est donnée par l’art. 134 al. 1 let. b de la loi sur l’organisation judiciaire du 26 septembre 2010 (LOJ - E 2 05) ne concerne que l’exécution du partage sur la base de la clé de répartition des prestations de prévoyance professionnelle décidée par le juge du divorce (ATF 132 III 401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