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ATAS/938/2008 vom 29. August 2008</w:t>
      </w:r>
    </w:p>
    <w:p>
      <w:r>
        <w:t>GE Cour de justice, 2008-08-29, FR</w:t>
      </w:r>
    </w:p>
    <w:p>
      <w:r>
        <w:rPr>
          <w:b/>
        </w:rPr>
        <w:t xml:space="preserve">Quelle: </w:t>
      </w:r>
      <w:r>
        <w:t>https://mcp.opencaselaw.ch/entscheid/ge_gerichte_ATAS_938_2008</w:t>
      </w:r>
    </w:p>
    <w:p>
      <w:r>
        <w:t>FR: GE_GERICHTE ATAS/938/2008 du 29 août 2008</w:t>
      </w:r>
    </w:p>
    <w:p>
      <w:r>
        <w:t>IT: GE_GERICHTE ATAS/938/2008 del 29 agosto 2008</w:t>
      </w:r>
    </w:p>
    <w:p>
      <w:pPr>
        <w:pStyle w:val="Heading2"/>
      </w:pPr>
      <w:r>
        <w:t>Erwägungen</w:t>
      </w:r>
    </w:p>
    <w:p>
      <w:r>
        <w:rPr>
          <w:b/>
        </w:rPr>
        <w:t>E. 1</w:t>
      </w:r>
    </w:p>
    <w:p>
      <w:r>
        <w:t>Par arrêt du 11 mars 2008, le Tribunal fédéral a annulé l'arrêt du Tribunal de céans du 12 mars 2007 et lui a enjoint de rendre une nouvelle décision sur le fond.</w:t>
      </w:r>
    </w:p>
    <w:p>
      <w:r>
        <w:rPr>
          <w:b/>
        </w:rPr>
        <w:t>E. 2</w:t>
      </w:r>
    </w:p>
    <w:p>
      <w:r>
        <w:t>L'objet du litige consiste à déterminer si l'intimé était en droit de reconsidérer sa décision d'octroi de rente du 24 août 1998.</w:t>
      </w:r>
    </w:p>
    <w:p>
      <w:r>
        <w:rPr>
          <w:b/>
        </w:rPr>
        <w:t>E. 3</w:t>
      </w:r>
    </w:p>
    <w:p>
      <w:r>
        <w:t>Pour ce faire il convient d'appliquer la législation en vigueur au moment où les faits déterminants ont donné lieu à la décision du 24 août 1998, soit en 1992-1993.</w:t>
      </w:r>
    </w:p>
    <w:p>
      <w:r>
        <w:rPr>
          <w:b/>
        </w:rPr>
        <w:t>E. 4</w:t>
      </w:r>
    </w:p>
    <w:p>
      <w:r>
        <w:t>a) Selon l'art. 28 al. 1 LAI dans sa teneur en vigueur jusqu'au 31 décembre 2003 : «1. L'assuré a droit à une rente s'il est invalide à 40 % au moins. La rente est échelonnée comme suit, selon le taux d'invalidité : 40 % au moins un quart, 50 % au moins une demie, 662/3 % au moins une rente entière.». Selon la lettre f des dispositions finales de la modification du 21 mars 2003 (4ème révision de l'AI), les rentes entières en cours perçues au titre d'un taux d'invalidité égal ou supérieur à 662/3 % continuent d'être versées, après l'entrée en vigueur des nouvelles dispositions légales, à tous les rentiers qui, à ce moment là, ont atteint l'âge de 50 ans. Toutes les autres rentes entières perçues au titre d'une invalidité inférieure à 70 % font l'objet d'une révision dans le délai d'un an dès l'entrée en vigueur des nouvelles dispositions. b) Selon l'art. 29 al. 1 LAI dans sa teneur en vigueur jusqu'au 31 décembre 2002, le droit à la rente au sens de l'art. 28 LAI prend naissance au plus tôt à la date à partir de laquelle l'assuré présente une incapacité de gain durable de 40 % au moins (let. a) ou à partir de laquelle il a présenté, en moyenne, une incapacité de travail de 40 % au moins pendant une année sans interruption notable (let. b). L’existence d’une incapacité de gain durable (art. 29 al. 1 let. a LAI) doit être admise lorsque l’atteinte à la santé est largement stabilisée et essentiellement irréversible et qu’elle affectera, selon toute vraisemblance, durablement la capacité de gain de l’assuré dans une mesure suffisamment grave pour justifier l’octroi d’une rente (art. 29 du règlement sur l'assurance-invalidité du 17 janvier 1961 - RAI). Une atteinte originellement labile peut être considérée comme relativement stabilisée seulement lorsque son caractère a clairement évolué de manière que l’on puisse prévoir que pratiquement aucun changement notable n’interviendra dans un avenir prévisible (ATF 119 V 102 consid. 4a et les références ; VSI 1999 p. 81 consid. 1a).</w:t>
      </w:r>
    </w:p>
    <w:p>
      <w:r>
        <w:rPr>
          <w:b/>
        </w:rPr>
        <w:t>E. 5</w:t>
      </w:r>
    </w:p>
    <w:p>
      <w:r>
        <w:t>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w:t>
      </w:r>
    </w:p>
    <w:p>
      <w:r>
        <w:t>A/4349/2006 - 10/16 -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 art. 28 al. 2 LAI; du 1er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(ESS)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On ne saurait s'écarter d'un tel revenu pour le seul motif que l'assuré disposait, avant la survenance de son invalidité, de meilleures possibilités de gain que celles qu'il mettait en valeur et qui lui permettaient d'obtenir un revenu modeste (ATF 125 V 157 consid. 5c/bb et les arrêts cités); il convient toutefois de renoncer à s'y référer lorsqu'il ressort de l'ensemble des circonstances du cas que l'assuré, sans invalidité, ne se serait pas contenté d'une telle rémunération de manière durable (cf. AJP 2002 1487; RCC 1992 p. 96 consid. 4a).</w:t>
      </w:r>
    </w:p>
    <w:p>
      <w:r>
        <w:rPr>
          <w:b/>
        </w:rPr>
        <w:t>E. 6</w:t>
      </w:r>
    </w:p>
    <w:p>
      <w:r>
        <w:t>Parmi les atteintes à la santé psychique, qui peuvent, comme les atteintes physiques, provoquer une invalidité au sens de l'art. 4 al. 1 LAI en liaison avec l'art.</w:t>
      </w:r>
    </w:p>
    <w:p>
      <w:r>
        <w:t>A/4349/2006 - 11/16 -</w:t>
      </w:r>
    </w:p>
    <w:p>
      <w:r>
        <w:rPr>
          <w:b/>
        </w:rPr>
        <w:t>E. 8</w:t>
      </w:r>
    </w:p>
    <w:p>
      <w:r>
        <w:t>Selon un principe général du droit des assurances sociales, l'administration peut reconsidérer une décision formellement passée en force de chose jugée et sur laquelle une autorité judiciaire ne s'est pas prononcée quant au fond, à condition qu'elle soit sans nul doute erronée et que sa rectification revête une importance notable. Par le biais de la reconsidération, on corrigera une application initiale erronée du droit, de même qu'une constatation erronée résultant de l'appréciation des faits (ATF 117 V 17 consid. 2c, 115 V 314 consid. 4a/cc). En outre, par analogie avec la révision des décisions rendues par les autorités judiciaires, l'administration est tenue de procéder à la révision d'une décision entrée en force formelle lorsque sont découverts des faits nouveaux ou de nouveaux moyens de preuve, susceptibles de conduire à une appréciation juridique différente (ATF 126 V 23 consid. 4b et les références citées). A noter que la révision et la</w:t>
      </w:r>
    </w:p>
    <w:p>
      <w:r>
        <w:t>A/4349/2006 - 14/16 - reconsidération sont désormais explicitement réglées à l'art. 53 LPGA (ATFA publié partiellement du 12 mars 2004, K 147/03 consid. 5.3). Pour juger s'il est admissible de reconsidérer une décision pour le motif qu'elle est sans nul doute erronée, il faut se fonder sur la situation juridique existant au moment où cette décision a été rendue, compte tenu de la pratique en vigueur à l'époque (ATF 119 V 479 consid. 1b/cc et les références). Par le biais de la reconsidération, on corrigera une application initiale erronée du droit, de même qu'une constatation erronée résultant de l'appréciation des faits. Un changement de pratique ou de jurisprudence ne saurait en principe justifier une reconsidération (ATF 117 V 17 consid. 2c, 115 V 314 consid. 4a/cc). Une décision est sans nul doute erronée non seulement lorsqu'elle a été prise sur la base de règles de droit non correctes ou inappropriées, mais aussi lorsque des dispositions importantes n'ont pas été appliquées ou l'ont été de manière inappropriée (DTA 1996/97 n° 28 p. 158 consid. 3c). A l'inverse, une inexactitude manifeste ne saurait être admise lorsque l'octroi de la prestation dépend de conditions matérielles dont l'examen suppose un pouvoir d'appréciation, quant à certains de leurs aspects ou de leurs éléments, et que la décision paraît admissible compte tenu de la situation de fait et de droit (ATFA non publié du 12 octobre 2005, I 8/04 consid. 3.2).</w:t>
      </w:r>
    </w:p>
    <w:p>
      <w:r>
        <w:rPr>
          <w:b/>
        </w:rPr>
        <w:t>E. 9</w:t>
      </w:r>
    </w:p>
    <w:p>
      <w:r>
        <w:t>En l'espèce, le Tribunal fédéral a considéré que la décision initiale de rente était manifestement erronée d'un point de vue formel dès lors qu'elle était fondée sur une évaluation médico-théorique de la capacité de travail, le dossier ne contenant à l'époque aucune évaluation de la capacité de travail résiduelle de l'assuré. Il convenait donc d'examiner la situation initiale d'un point de vue matériel avec un plein pouvoir d'examen, en particulier de porter une appréciation complète sur les avis médicaux figurant au dossier, notamment l'avis du SMR du 16 janvier 2006 et d'examiner la possibilité d'exiger de l'assuré un traitement contre ses toxicodépendances et les conséquences de ce traitement sur la réinsertion professionnelle dont parlait l'expert G___________. Il convient, pour ce faire, de préciser les aspects médicaux du cas par le biais d'une expertise psychiatrique, laquelle sera confiée au Dr K___________, FMH psychiatrie et psychothérapie, Fondation Y___________ à Genève. S'agissant de la demande de récusation de l'expert formée par l'intimé, elle ne peut qu'être rejetée dès lors que le Dr K___________ n'est pas engagé par les Hôpitaux universitaires de Genève, mais travaille auprès de la Fondation Y___________.</w:t>
      </w:r>
    </w:p>
    <w:p>
      <w:r>
        <w:t>A/4349/2006 - 15/16 -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