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ATAS/937/2025 vom 1. Dezember 2025</w:t>
      </w:r>
    </w:p>
    <w:p>
      <w:r>
        <w:t>GE Cour de justice, 2025-12-01, FR</w:t>
      </w:r>
    </w:p>
    <w:p>
      <w:r>
        <w:rPr>
          <w:b/>
        </w:rPr>
        <w:t xml:space="preserve">Quelle: </w:t>
      </w:r>
      <w:r>
        <w:t>https://mcp.opencaselaw.ch/entscheid/ge_gerichte_ATAS_937_2025</w:t>
      </w:r>
    </w:p>
    <w:p>
      <w:r>
        <w:t>FR: GE_GERICHTE ATAS/937/2025 du 1 décembre 2025</w:t>
      </w:r>
    </w:p>
    <w:p>
      <w:r>
        <w:t>IT: GE_GERICHTE ATAS/937/2025 del 1 dicembre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LAI.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Interjeté dans le délai et la forme prévus par la loi, le recours est recevable (art. 56 et 60 al. 1 LPGA ; art. 89B de la loi sur la procédure administrative du 12 septembre 1985 [LPA- E 5 10]).</w:t>
      </w:r>
    </w:p>
    <w:p>
      <w:r>
        <w:rPr>
          <w:b/>
        </w:rPr>
        <w:t>E. 1.4</w:t>
      </w:r>
    </w:p>
    <w:p>
      <w:r>
        <w:t>Le 1er janvier 2022, les modifications de la LAI du 19 juin 2020 (développement continu de l’AI ; RO 2021 705) ainsi que celles du</w:t>
      </w:r>
    </w:p>
    <w:p>
      <w:r>
        <w:rPr>
          <w:b/>
        </w:rPr>
        <w:t>E. 3</w:t>
      </w:r>
    </w:p>
    <w:p>
      <w:r>
        <w:t>novembre 2021 du règlement sur l’assurance-invalidité du 17 janvier 1961 (RAI – RS 831.201 ; RO 2021 706) sont entrées en vigueur.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la décision litigieuse porte sur la demande de prise en charge de mesures médicales déposée postérieurement au 1er janvier 2022, de sorte que les dispositions légales et réglementaires seront citées dans leur nouvelle teneur. 2. Le litige porte sur le bien-fondé de la décision du 16 juin 2025, par laquelle l’intimé a refusé de prendre en charge la chaise et la table de thérapie sollicitées par le recourant.</w:t>
      </w:r>
    </w:p>
    <w:p>
      <w:r>
        <w:rPr>
          <w:b/>
        </w:rPr>
        <w:t>E. 3.1</w:t>
      </w:r>
    </w:p>
    <w:p>
      <w:r>
        <w:t>Selon l’art. 8 al. 1 LAI, les assurés invalides ou menacés d'une invalidité (art. 8 LPGA) ont droit à des mesures de réadaptation pour autant que ces mesures soient nécessaires et de nature à rétablir, maintenir ou améliorer leur capacité de</w:t>
      </w:r>
    </w:p>
    <w:p>
      <w:r>
        <w:t>A/2513/2025 - 7/17 - gain ou leur capacité d'accomplir leurs travaux habituels (let. a) et que les conditions d'octroi des différentes mesures soient remplies (let. b). En vertu de l’art. 8 al. 2 LAI, les assurés ont droit aux prestations prévues aux art. 13 et 21 LAI, quelles que soient les possibilités de réadaptation à la vie professionnelle ou à l’accomplissement de leurs travaux habituels. L’art. 8 al. 3 let. a et d LAI précise que les mesures de réadaptation comprennent notamment des mesures médicales et l’octroi de moyens auxiliaires.</w:t>
      </w:r>
    </w:p>
    <w:p>
      <w:r>
        <w:rPr>
          <w:b/>
        </w:rPr>
        <w:t>E. 3.2</w:t>
      </w:r>
    </w:p>
    <w:p>
      <w:r>
        <w:t>La LAI prévoit l’octroi de mesures médicales en général (art. 12 LAI) et en cas d’infirmité congénitale en particulier (art. 13 LAI).</w:t>
      </w:r>
    </w:p>
    <w:p>
      <w:r>
        <w:rPr>
          <w:b/>
        </w:rPr>
        <w:t>E. 3.2.1</w:t>
      </w:r>
    </w:p>
    <w:p>
      <w:r>
        <w:t>Selon l’art. 12 al. 1 LAI, l’assuré a droit, jusqu’à ce qu’il atteigne l’âge de 20 ans, aux mesures médicales de réadaptation qui n’ont pas pour objet le traitement de l’affection comme telle, mais sont directement nécessaires à sa réadaptation pour lui permettre de fréquenter l’école obligatoire, de suivre une formation professionnelle initiale, d’exercer une activité lucrative ou d’accomplir ses travaux habituels. L’art. 12 al. 3 LAI précise que les mesures médicales de réadaptation doivent être de nature à améliorer de façon durable et importante la capacité de l’assuré à fréquenter l’école, à suivre une formation, à exercer une activité lucrative ou à accomplir ses travaux habituels, ou être de nature à prévenir une diminution notable de cette capacité. Le droit à ces mesures n’existe que si le médecin traitant spécialisé a posé un pronostic favorable tenant compte de la gravité de l’infirmité. En vertu de l’art. 2 al. 1 RAI, sont considérées comme mesures médicales au sens de l’art. 12 LAI notamment les traitements chirurgicaux, physiothérapeutiques et psychothérapeutiques. Elles visent directement la réadaptation au sens de l’art. 12 al. 3 LAI une fois l’affection en tant que telle traitée et l’état de santé stabilisé.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140 V 246 consid. 7.5.1 ; 104 V 81 consid. 1). Ainsi, pour qu'un assuré ait droit à des mesures médicales au sens de l'art. 12 LAI, il faut que celles-ci n'aient pas pour objet le traitement de l'affection comme telle, mais soient directement nécessaires à la réadaptation professionnelle ou de nature à améliorer d'une manière durable et importante notamment la capacité de gain. Autrement dit, les mesures médicales ne doivent pas uniquement viser le traitement du trouble originaire et doivent permettre d'atteindre un résultat certain dans un laps de temps déterminé (arrêt du Tribunal fédéral 9C_588/2021 du 27 juin 2022 consid. 6.2.2 et les références citées). Lorsqu'il s'agit de mineurs, la jurisprudence a précisé que des mesures médicales pouvaient déjà être utiles de manière prédominante à la réadaptation</w:t>
      </w:r>
    </w:p>
    <w:p>
      <w:r>
        <w:t>A/2513/2025 - 8/17 -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(ATF 140 V 246 consid. 7.5.1).</w:t>
      </w:r>
    </w:p>
    <w:p>
      <w:r>
        <w:rPr>
          <w:b/>
        </w:rPr>
        <w:t>E. 3.3.1</w:t>
      </w:r>
    </w:p>
    <w:p>
      <w:r>
        <w:t>Aux termes de l’art 13 al. 1 LAI, les assurés ont droit jusqu’à ce qu’ils atteignent l’âge de 20 ans à des mesures médicales pour le traitement des infirmités congénitales (art. 3 al. 2 LPGA). Conformément à l’art. 3 al. 2 LPGA, est réputée infirmité congénitale toute maladie présente à la naissance accomplie de l’enfant. Selon l’art. 13 al. 2 LAI, les mesures médicales au sens de l’al. 1 sont accordées pour le traitement des malformations congénitales, des maladies génétiques ainsi que des affections prénatales et périnatales qui : font l’objet d’un diagnostic posé par un médecin spécialiste (let. a) ; engendrent une atteinte à la santé (let. b) ; présentent un certain degré de gravité (let. c) ; nécessitent un traitement de longue durée ou complexe (let. d) et peuvent être traitées par des mesures médicales au sens de l’art 14 (let. e). La notion d’affections qui peuvent être traitées au sens de l’art. 13 al. 2 LAI est précisée à l’art. 3 al. 1 let. h RAI qui indique qu’il s’agit d’une affection dont l’évolution peut être influencée favorablement par les mesures médicales visées à l’art. 14 LAI pour le traitement de l’infirmité congénitale.</w:t>
      </w:r>
    </w:p>
    <w:p>
      <w:r>
        <w:rPr>
          <w:b/>
        </w:rPr>
        <w:t>E. 3.3.2</w:t>
      </w:r>
    </w:p>
    <w:p>
      <w:r>
        <w:t>Le Conseil fédéral a délégué au Département fédéral de l’intérieur (DFI) la compétence de déterminer les infirmités congénitales donnant droit à des mesures médicales en vertu de l’art. 13 LAI (art. 3bis RAI en lien avec les art. 14ter al. 1 let. b et al. 4 LAI). Sur la base de cette délégation, le DFI a édicté l’OIC-DFI, entrée en vigueur le 1er janvier 2022. Selon le chiffre 405 OIC-DFI, font notamment partie des infirmités congénitales les troubles du spectre de l’autisme, lorsque le diagnostic a été confirmé par un médecin spécialiste en pédiatrie avec formation approfondie en neuropédiatrie ou par un médecin spécialiste en pédiatrie avec formation approfondie en pédiatrie du développement. La CMRM, dans sa version valable dès le 1er janvier 2025, reprend également cette formulation (ch. 405 CMRM).</w:t>
      </w:r>
    </w:p>
    <w:p>
      <w:r>
        <w:rPr>
          <w:b/>
        </w:rPr>
        <w:t>E. 3.3.3</w:t>
      </w:r>
    </w:p>
    <w:p>
      <w:r>
        <w:t>L’objectif des mesures prévues à l’art. 13 LAI concerne le traitement visant à supprimer ou à atténuer l’atteinte consécutive à une infirmité congénitale en tant que telle (ATF 115 V 202 consid. 4e/cc ; Ulrich MEYER / Marco REICHMUTH, Rechtsprechung des Bundesgerichts zum Bundesgesetz über die Invalidenversicherung [IVG], 4e éd., 2022, n. 17 ad art. 13 LAI).</w:t>
      </w:r>
    </w:p>
    <w:p>
      <w:r>
        <w:t>A/2513/2025 - 9/17 - Le droit aux mesures médicales au sens de l’art. 13 LAI comprend aussi les appareils de traitement qui font nécessairement partie de la mesure médicale prise en charge par l’assurance-invalidité (au sens des art. 12 et 13 LAI ; cf. art 1 al. 2 ordonnance concernant la remise de moyens auxiliaires par l’assurance-invalidité du 29 novembre 1976 [OMAI - RS 831.232.51]), pour autant qu’ils aient un rapport étroit et direct avec cette mesure. Il n’est cependant pas nécessaire que l’appareil de traitement déploie lui-même des effets thérapeutiques ; il suffit qu’il soutienne le but thérapeutique de la mesure médicale de manière ciblée (arrêt du Tribunal fédéral 9C_197/2013 du 20 juin 2013 consid. 5.1) Le traitement d’une infirmité congénitale désigne ainsi toute mesure médicale ou médico-thérapeutique prise sous la responsabilité d’un médecin en vue d’améliorer ou de maintenir l’état de santé, y compris les contrôles réguliers. Contrairement à l’art. 12 LAI, un état de santé stabilisé n’est pas une condition préalable pour que des mesures médicales soient qualifiées de mesures médicales destinées au traitement d’une infirmité congénitale ; le traitement d’un processus pathologique instable suffit. Sous réserve de dispositions particulières prévues dans les différents chiffres de l’OIC-DFI, le droit aux mesures médicales nécessaires existe dès le début du traitement, même si la gravité requise de l’infirmité n’était pas encore atteinte au début du traitement, mais s’est réalisée par la suite. Il n’y a pas de droit si l’infirmité congénitale (même pour des raisons médicales) ne peut être traitée avant l’âge de 20 ans révolus (Ulrich MEYER / Marco REICHMUTH, op. cit., n. 18 ad art. 13 LAI).</w:t>
      </w:r>
    </w:p>
    <w:p>
      <w:r>
        <w:rPr>
          <w:b/>
        </w:rPr>
        <w:t>E. 3.4</w:t>
      </w:r>
    </w:p>
    <w:p>
      <w:r>
        <w:t>Selon l’art. 14 al. 1 let. c LAI, les mesures médicales comprennent notamment les analyses, médicaments, moyens et appareils diagnostiques ou thérapeutiques prescrits par un médecin ou, dans les limites fixées par le Conseil fédéral, par un chiropraticien. L’art. 14 al. 2 LAI précise que les mesures médicales doivent être efficaces, appropriées et économiques. L’efficacité doit être démontrée selon des méthodes scientifiques ; dans le cas des maladies rares, la fréquence de l’apparition d’une maladie est prise en considération. Cette disposition reprend de l’art. 32 loi fédérale sur l'assurance-maladie du 18 mars 1994 (LAMal - RS 832.10) les critères d’efficacité, d’adéquation et d’économicité. Les mesures médicales de l’AI doivent donc satisfaire aux conditions de prise en charge par l’AOS. Pour les assurés jusqu’à l’âge de 20 ans atteints d’une infirmité congénitale, l’AI jour le rôle d’une assurance-maladie : il est donc logique que les deux assurances appliquent les mêmes critères pour la prise en charge des prestations. Les assurés peuvent ainsi continuer à bénéficier des mêmes prestations lorsqu’ils passent de l’AI à l’assurance obligatoire des soins (Message du Conseil fédéral concernant la modification de la loi fédérale sur l’assurance-invalidité du 15 février 2017, FF 2017 2363, pp. 2390 et 2477).</w:t>
      </w:r>
    </w:p>
    <w:p>
      <w:r>
        <w:t>A/2513/2025 - 10/17 - D’après la jurisprudence dans le domaine de l’assurance-maladie, applicable aux mesures médicales de l’AI (ATF 123 V 53 consid. 2d 2b/cc), une mesure est efficace lorsqu’elle est démontrée selon des méthodes scientifiques et permet objectivement d’obtenir le résultat diagnostique ou thérapeutique recherché (ATF 139 V 135 consid. 4.4.1). Quant à l’adéquation d’une mesure, celle-ci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 est appropriée la mesure qui présente, compte tenu des risques existants, le meilleur bilan diagnostique ou thérapeutique. La réponse à cette question se confond normalement avec celle de l'indication médicale ; lorsque l'indication médicale est clairement établie, il convient d'admettre que l'exigence du caractère approprié de la mesure est réalisée (ATF 139 V 135 consid. 4.4.2).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139 V 135 consid. 4.4.3). Ces critères sont également rappelés dans la CMRM, laquelle mentionne que l’AI prend en charge les mesures médicales nécessaires, prescrites par un médecin, qui sont efficaces, appropriées et économiques, et que les mesures médicales de l’AI comprennent notamment des appareils de traitement qui répondent à ces critères (ch. 6.2 CMRM). La CMRM indique également que, si des appareils de traitement sont requis pour l’application de mesures médicales accordées par l’AI (par ex. inhalateurs ; lunettes lors d’infirmités congénitales de la réfraction ; nébuliseurs, appareils à distiller et coussins de caoutchouc mousse en cas de mucoviscidose ; balles médicinales et tapis pour les enfants IMC ainsi que, pour les cas sévères de troubles moteurs comme les paralysies cérébrales, Haeverich à trois roues), les frais qui en résultent sont à la charge de l’AI dans le cadre des art. 12 LAI et 13 LAI (ch. 1216 CMRM).</w:t>
      </w:r>
    </w:p>
    <w:p>
      <w:r>
        <w:rPr>
          <w:b/>
        </w:rPr>
        <w:t>E. 4.1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w:t>
      </w:r>
    </w:p>
    <w:p>
      <w:r>
        <w:t>A/2513/2025 - 11/17 -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4.2</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I.321/04 du 18 juillet 2005 consid. 5).</w:t>
      </w:r>
    </w:p>
    <w:p>
      <w:r>
        <w:rPr>
          <w:b/>
        </w:rPr>
        <w:t>E. 4.3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w:t>
      </w:r>
    </w:p>
    <w:p>
      <w:r>
        <w:t>A/2513/2025 - 12/17 - jurisprudence rendue sous l’empire de l’art. 4 aCst. étant toujours valable (ATF 124 V 90 consid. 4b ; 122 V 157 consid. 1d).</w:t>
      </w:r>
    </w:p>
    <w:p>
      <w:r>
        <w:rPr>
          <w:b/>
        </w:rPr>
        <w:t>E. 5</w:t>
      </w:r>
    </w:p>
    <w:p>
      <w:r>
        <w:t>En l’espèce, il est admis que le recourant souffre d’une infirmité congénitale figurant au ch. 405 OIC-DFI, correspondant à des troubles du spectre de l’autisme, ce qui ouvre le droit à des mesures médicales au sens de l’art. 13 LAI. En rapport avec cette infirmité, l’intimé a pris en charge certaines mesures telles que les séances de psychothérapie, de pédopsychiatrie et d’ergothérapie. Il a en outre accepté de prendre en charge le financement d’une chaise de thérapie « Smilla taille 1 » dans le cadre du traitement de l’infirmité. Par la suite, l’intimé a refusé la prise en charge des frais de la chaise et table thérapeutiques « PAL » au motif que les conditions d’octroi de mesures médicales en cas d’infirmité congénitale n’étaient pas remplies.</w:t>
      </w:r>
    </w:p>
    <w:p>
      <w:r>
        <w:rPr>
          <w:b/>
        </w:rPr>
        <w:t>E. 5.1</w:t>
      </w:r>
    </w:p>
    <w:p>
      <w:r>
        <w:t>Il convient donc d’examiner si le recourant peut prétendre à l’octroi de ces mesures sous l’angle de l’art. 13 LAI.</w:t>
      </w:r>
    </w:p>
    <w:p>
      <w:r>
        <w:rPr>
          <w:b/>
        </w:rPr>
        <w:t>E. 5.2</w:t>
      </w:r>
    </w:p>
    <w:p>
      <w:r>
        <w:t>Se pose d’abord la question de savoir si la mesure litigieuse concerne le traitement de l’infirmité congénitale, conformément à l’art. 13 LAI. En se fondant sur l’avis médical succinct du SMR du 8 mai 2025, l’intimé a considéré que la chaise et table thérapeutiques ne correspondaient pas à un traitement médical du TSA mais visaient uniquement au soutien et à l’adaptation aux activités scolaires, de sorte qu’elles ne pouvaient pas être pris en compte sous le chiffre 405 OIC-DFI. Cependant, le droit aux mesures médicales au sens de l’art. 13 LAI comprend aussi les appareils de traitement qui font nécessairement partie de la mesure médicale prise en charge par l’AI (cf. art. 1 al. 2 OMAI cum art. 12 et 13 LAI), pour autant qu’ils aient un rapport étroit et direct avec cette mesure. Il suffit que l’appareil de traitement soutienne le but thérapeutique de la mesure médicale de manière ciblée. Il ressort du dossier qu’en raison de son TSA, reconnu comme infirmité congénitale, le recourant a besoin de soutien pour développer des moyens de communication et sa capacité à interagir avec les autres. Il a également besoin d’un accompagnement en physiothérapie ou en psychomotricité en raison de difficultés motrices (cf. rapport médical du 24 août 2021 de la Dre C______). L’intimé a par ailleurs accordé des mesures médicales sur cette base, prenant notamment en charge la psychothérapie et l’ergothérapie mais également la chaise « Smilla T1 » à titre d’appareil de traitement sous le chiffre 1216 CMRM (cf. décision du 7 décembre 2023). Ce faisant, l’intimé a reconnu la nécessité de traiter les difficultés motrices et de communication du recourant dans le cadre du traitement de l’infirmité congénitale.</w:t>
      </w:r>
    </w:p>
    <w:p>
      <w:r>
        <w:t>A/2513/2025 - 13/17 - En outre, les rapports médicaux figurant au dossier font tous état de ces difficultés et attestent de la nécessité d’une chaise thérapeutique dans le cadre du traitement de l’infirmité congénitale. À cet égard, dans le cadre de la demande d’octroi de la chaise « PAL », le Dr H______ et l’ergothérapeute G______ ont indiqué que celle-ci permettrait d’améliorer les apprentissages préscolaires du recourant et de développer son indépendance dans les acquisitions motrices et cognitives à table. Dans la mesure où le recourant avait intégré une classe au sein de l’école de la Petite Arche, qu’il fréquentait tous les jours, il était important de lui offrir une assise adaptée répondant à ses besoins de contenance et d’appui. Cette bonne adaptation d’assise lui permettrait d’avoir une position assise adéquate avec un appui des pieds au sol, une contenance propice à l’attention et à la régulation émotico-tonique avec les accoudoirs et la tablette. Elle permettrait également au recourant de pouvoir participer de façon adéquate aux activités de classe, de mieux apprendre ainsi que de mieux être en lien avec l’adulte, de se canaliser, de mieux se concentrer et ainsi de mieux manipuler et comprendre les concepts préscolaires. Le moment du repas, qui était difficile, serait « aussi pris en charge dans cette chaise dans la classe pour en favoriser la prise ». Les spécialistes ont également expliqué qu’une phase de test avait précédé la demande et que celle-ci avait permis de constater des bienfaits pour le recourant au niveau de la contenance, ce qui permettait d’améliorer son attention et sa participation lors des activités scolaires. Les éducateurs et l’enseignante spécialisée voyaient la différence et pouvaient ainsi mieux travailler avec l’assuré pour les temps d’apprentissage scolaire, ce qui représentait une vraie plus-value pour accompagner le recourant dans ses apprentissages mais également dans son gain d’indépendance (cf. demande du 12 février 2025). Le Dr I______ a également attesté de la nécessité de cette chaise, notamment pour aider le recourant dans son développement et dans ses apprentissages en lien avec les activités de la vie quotidienne comme la prise du repas, du goûter et des activités occupationnelles à son domicile (cf. rapport du 22 juillet 2025). Le Dr I______ a ainsi expliqué que le but de la chaise visait à améliorer la posture et la stabilité corporelle, ce qui était essentiel pour favoriser l’engagement attentionnel, la participation aux routines du quotidien (repas, jeux dirigés et activités préscolaires) et réduire les comportements de désorganisation. Ce matériel constituait en outre un soutien matériel aux apprentissages précoces (cf. rapport du 14 juillet 2025). Il a également souligné l’importance d’offrir au recourant une assise adaptée répondant à ses besoins de contenance et d’appui (cf. rapports des 22 juillet et 8 septembre 2025). Il ressortait des rapports médicaux que ce besoin était directement lié au TSA dont souffrait le recourant. En ce sens, l’ergothérapeute G______ et le Dr I______ ont retenu des difficultés marquées du recourant dans les domaines de la communication, des interactions sociales ainsi que des comportements restreints,</w:t>
      </w:r>
    </w:p>
    <w:p>
      <w:r>
        <w:t>A/2513/2025 - 14/17 - répétitifs stéréotypés. Ils ont décrit des déficits importants dans son expression verbale et non verbale, avec une attention réduite aux signaux sociaux et à l’environnement (cf. rapport du 14 juillet 2025). Le TSA était également responsable de difficultés importantes dans le traitement des informations sensorielles, d’une hyper-sélectivité alimentaire, de troubles de la régulation émotico-tonique à l’origine de conduites auto-agressives (se jeter en arrière, se mettre en danger) et hétéro-agressives (griffures, morsures ; cf. rapport du 22 juillet 2025). La régulation motrice et sensorielle du recourant était également instable, ce qui compromettait sa capacité à maintenir une posture fonctionnelle en situation d’apprentissage ou de repas. Les spécialistes ont expliqué que c’était dans ce contexte-là que l’utilisation d’une chaise thérapeutique adaptée à domicile était recommandée. En effet, lors de stimulations sensorielles excessives, le recourant pouvait se projeter brutalement en arrière, mettant sa sécurité en danger (cf. rapports des 14 juillet et 8 septembre 2025). Selon le Dr I______, cette chaise constituait « une mesure médicale de réadaptation » dans le cadre du TSA du recourant, afin de compenser ses difficultés posturales et sensorielles et de soutenir son développement fonctionnel. Elle contribuait ainsi directement à sa réadaptation et à ses apprentissages et constituait également une mesure indispensable puisqu’elle permettait une posture fonctionnelle adaptée aux besoins spécifiques d’un enfant avec TSA, favorisant l’engagement attentionnel et la régulation émotionnelle en réduisant les comportements de désorganisation, et facilitait la participation active aux routines quotidiennes (cf. rapport du 8 septembre 2025). Il ressort de l’ensemble de ces rapports que la chaise sollicitée correspond bien plus qu’à un simple moyen de soutien et d’adaptation aux activités scolaires. En effet, les spécialistes décrivent les difficultés motrices, sensorielles et comportementales directement liées au TSA dont souffre le recourant et soulignent que l’utilisation de la chaise vise précisément à agir sur ces symptômes dans une finalité thérapeutique. Ils décrivent notamment que la chaise permet d’améliorer la posture et la stabilité corporelle, de réguler son comportement, de prévenir les comportements auto ou hétéro-agressifs, de favoriser la concentration ainsi que sa participation tant durant les activités du quotidien que durant les activités d’apprentissage. Ces effets participent ainsi directement au traitement du TSA. Il est par ailleurs rappelé que l’appareil en cause est utilisé en complément à l’ergothérapie et la psychothérapie dispensées au recourant aux frais de l’AI et qui ont pour but justement de contribuer au développement de l’autonomie et des compétences cognitives du recourant (cf. rapport du 24 août 2021). À cet égard, le fait que le Dr I______ ait qualifié dans son rapport du 8 septembre 2025 cette mesure de « réadaptation médicale » ne modifie en rien sa nature puisque les rapports médicaux démontrent d’une manière probante que la chaise contribue de manière directe au traitement thérapeutique du TSA.</w:t>
      </w:r>
    </w:p>
    <w:p>
      <w:r>
        <w:t>A/2513/2025 - 15/17 - Par ailleurs, il est relevé que l’intimé ne s’est pas prononcé sur les rapports produits dans le cadre de la présente procédure, de sorte qu’il n’apporte aucun élément permettant de soutenir le contraire. Au vu de ce qui précède, la chaise et tablette « PAL » soutiennent le but thérapeutique poursuivi par les traitements prescrits et constituent par conséquent un appareil de traitement au sens de l’art. 13 LAI.</w:t>
      </w:r>
    </w:p>
    <w:p>
      <w:r>
        <w:rPr>
          <w:b/>
        </w:rPr>
        <w:t>E. 5.3</w:t>
      </w:r>
    </w:p>
    <w:p>
      <w:r>
        <w:t>Il convient ensuite de déterminer si cette mesure médicale est efficace, appropriée et économique au sens de l’art. 14 al. 2 LAI. S’agissant du critère de l’efficacité, il convient de rappeler que l’intimé avait accordé préalablement au recourant, dans le cadre du traitement de son infirmité congénitale, des mesures médicales sous la forme de psychothérapie, d’ergothérapie et d’une chaise de thérapie « Smilla T1 ». Il avait par conséquent implicitement reconnu le caractère efficace d’un appareil telle qu’une chaise de thérapie, en complément à des mesures comme l’ergothérapie. La chaise PAL et sa tablette ont par ailleurs été testées par l’ergothérapeute lors des séances d’ergothérapie et en classe, qui a pu attester de leurs bienfaits au niveau de la contenance qu’elle offrait au recourant (cf. rapport du 22 juillet 2025). En outre, les Drs I______ et H______ ont également attesté de son efficacité dans les rapports susmentionnés. Partant, il convient de retenir que le critère de l’efficacité de la chaise est rempli. S’agissant du critère approprié de la mesure, l’ergothérapeute G______, le Dr I______ et le Dr H______ ont mis en évidence dans leurs rapports susmentionnés l’utilisation appropriée de cette chaise chez le recourant. L’indication médicale était en outre clairement établie dans les différents rapports susmentionnés. Il convient par conséquent d’admettre que l’exigence du caractère approprié de la mesure est réalisée. En ce qui concerne le caractère d’économicité, il sied de constater qu’il n’y a aucune indication dans le dossier sur le prix, sur l’existence d’alternatives moins coûteuses et sur une éventuelle mise en balance entre coûts et bénéfice de chacune de ces mesures. Ce point n’ayant pas été instruit, il se justifie d’ordonner le renvoi de la cause à l’intimé. Au besoin, il conviendra de mandater la FSCMA pour un éventuel examen du critère de l’économicité.</w:t>
      </w:r>
    </w:p>
    <w:p>
      <w:r>
        <w:rPr>
          <w:b/>
        </w:rPr>
        <w:t>E. 6.1</w:t>
      </w:r>
    </w:p>
    <w:p>
      <w:r>
        <w:t>Au vu de ce qui précède, le recours sera partiellement admis, la décision litigieuse annulée et la cause renvoyée à l’intimé pour complément d’instruction au sens des considérants, puis nouvelle décision.</w:t>
      </w:r>
    </w:p>
    <w:p>
      <w:r>
        <w:rPr>
          <w:b/>
        </w:rPr>
        <w:t>E. 6.2</w:t>
      </w:r>
    </w:p>
    <w:p>
      <w:r>
        <w:t>Bien qu’il obtienne partiellement gain de cause, l’assuré, non représenté par un avocat et n’ayant pas fait valoir de frais engendrés par la procédure, n’a en principe pas droit à des dépens et ne remplit pas non plus les critères permettant qu’il soit dérogé à cette règle ; on ne saurait considérer, en l’espèce, que</w:t>
      </w:r>
    </w:p>
    <w:p>
      <w:r>
        <w:t>A/2513/2025 - 16/17 - l’importance de la cause et sa complexité aient rendu nécessaires des frais ou un volume de travail excédant ce qu’un particulier peut ordinairement et raisonnablement prendre sur lui pour la défense de ses intérêts (ATF 127 V 205 consid. 5b ; 125 II 518 ; Jean MÉTRAL, in DUPONT / MOSER-SZELESS [éd.], Commentaire romand de la loi sur la partie générale des assurances sociales, n. 103 ad art. 61 LPGA).</w:t>
      </w:r>
    </w:p>
    <w:p>
      <w:r>
        <w:rPr>
          <w:b/>
        </w:rPr>
        <w:t>E. 7</w:t>
      </w:r>
    </w:p>
    <w:p>
      <w:r>
        <w:t>Au vu du sort du recours, il y a lieu de condamner l’intimé au paiement d’un émolument de CHF 200.- (art. 69 al. 1bis LAI).</w:t>
      </w:r>
    </w:p>
    <w:p>
      <w:r>
        <w:t>A/2513/2025 - 17/17 -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