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ATAS/937/2021 vom 14. September 2021</w:t>
      </w:r>
    </w:p>
    <w:p>
      <w:r>
        <w:t>GE Cour de justice, 2021-09-14, FR</w:t>
      </w:r>
    </w:p>
    <w:p>
      <w:r>
        <w:rPr>
          <w:b/>
        </w:rPr>
        <w:t xml:space="preserve">Quelle: </w:t>
      </w:r>
      <w:r>
        <w:t>https://mcp.opencaselaw.ch/entscheid/ge_gerichte_ATAS_937_2021</w:t>
      </w:r>
    </w:p>
    <w:p>
      <w:r>
        <w:t>FR: GE_GERICHTE ATAS/937/2021 du 14 septembre 2021</w:t>
      </w:r>
    </w:p>
    <w:p>
      <w:r>
        <w:t>IT: GE_GERICHTE ATAS/937/2021 del 14 settembre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À teneur de l’art. 53 al. 3 LPGA, jusqu’à l’envoi de son préavis à l’autorité de recours, l’assureur peut reconsidérer une décision ou une décision sur opposition contre laquelle un recours a été formé. L’intimé a fait usage de son droit de reconsidérer sa décision en proposant, dans sa réponse au recours, que soit reconnu le droit pour la recourante à l’indemnité en cas de RHT dès le 22 décembre 2020 et non le 23 décembre 2020 comme indiqué dans la décision entreprise.</w:t>
      </w:r>
    </w:p>
    <w:p>
      <w:r>
        <w:t>A/1205/2021 - 5/11 - Le litige porte dès lors uniquement sur le droit de la recourante à l’octroi d’indemnités en cas de RHT du 8 mars 2020 au 21 décembre 2020.</w:t>
      </w:r>
    </w:p>
    <w:p>
      <w:r>
        <w:rPr>
          <w:b/>
        </w:rPr>
        <w:t>E. 4</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 c. Selon la jurisprudence concernant l’art. 36 LACI et l’art. 58 par. 4 OACI, en cas de notification tardive et sans excuse valable du préavis, la réduction des heures de travail n’est prise en compte qu’à l’expiration du délai de la notification tardive, le Tribunal fédéral ayant jugé cette réglementation nécessaire, objectivement justifiée et licite au regard de l’objectif poursuivi par la notification préalable du préavis, soit notamment de permettre l’examen des conditions d’admission du chômage partiel et de vérifier si l’employeur remplit les conditions de l’art. 37 LACI (cf. ATF 110 V 334 consid. 3 ainsi que les ATF 109 V 141 consid. 2b et 5a ; ATF 108 V 116 consid. 3a). Le délai de préavis est un délai de déchéance qui ne peut être ni prolongé, ni suspendu (ATF 110 V 334). Il peut toutefois être restitué en cas de raison valable, c’est-à-dire aux conditions de l’art. 41 LPGA (RUBIN, op. cit., n. 11 ad art. 36 LPGA). À teneur de cette disposition, si le requérant ou son mandataire a été empêché, sans sa faute, d’agir dans le délai fixé, celui-ci est restitué pour autant que, dans les trente jours à compter de celui où l’empêchement</w:t>
      </w:r>
    </w:p>
    <w:p>
      <w:r>
        <w:t>A/1205/2021 - 6/11 -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p. 228 ; voir également l’arrêt I 468/05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 ATF 112 V 255 ; arrêts du Tribunal fédéral 9C_209/2012 du 26 juin 2012 consid. 3.1 ; 8C_767/2008 du 12 janvier 2009 consid. 5.3.1).</w:t>
      </w:r>
    </w:p>
    <w:p>
      <w:r>
        <w:rPr>
          <w:b/>
        </w:rPr>
        <w:t>E. 5</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sur les mesures destinées à lutter contre le coronavirus du 13 mars 2020 (Ordonnance 2 COVID-19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et des marchés (art. 6 al. 2 let. a). Cette modification est entrée en vigueur le 17 mars 2020 (RO 2020 783). Dès le 11 mai 2020, les marchés et les magasins ont pu rouvrir moyennant la mise en place d’un plan de protection (art. 6 al. 3 let. a ; modification du 29 avril 2020, entrée en vigueur le 11 mai 2020 ; RO 2020 1401).</w:t>
      </w:r>
    </w:p>
    <w:p>
      <w:r>
        <w:rPr>
          <w:b/>
        </w:rPr>
        <w:t>E. 6</w:t>
      </w:r>
    </w:p>
    <w:p>
      <w:r>
        <w:t>a.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 En substance, dès le 17 mars 2020, le cercle des bénéficiaires des indemnités en cas de RHT a été élargi : le conjoint ou le partenaire enregistré de l’employeur (art. 1), ainsi que les personnes fixant les décisions prises par l’employeur (art. 2) ont pu également prétendre à une indemnité en cas de RHT. Par ailleurs, plus aucun délai d’attente ne devait être déduit de la perte de travail à</w:t>
      </w:r>
    </w:p>
    <w:p>
      <w:r>
        <w:t>A/1205/2021 - 7/11 - prendre en considération (art. 3) et l’employeur a pu demander le versement de l’indemnité en cas de RHT sans devoir en faire l’avance (art. 6). L’art. 8b al. 1 prévoyait en outre que l’employeur n’était pas tenu de respecter un délai de préavis, lorsqu’il avait l’intention de requérir l’indemnité en cas de réduction de l’horaire de travail en faveur de ses travailleurs (RO 2020 1075). Cette disposition a été abrogée avec effet au 1er juin 2020 (RO 2020 1777). Quant à l’art. 8c de l’ordonnance COVID-19 assurance-chômage, il prévoyait qu’en dérogation à l’art. 36 al. 1 LACI, le préavis devait être renouvelé lorsque la réduction de l’horaire de travail durait plus de six mois. Cette disposition a été abrogée par modification du 12 août 2020, avec effet au 1er septembre 2020 (RO 3569). b. Pour préciser les ordonnances du Conseil fédéral, le Secrétariat d’État à l’économie (ci-après : SECO) a établi diverses directives. Dans la directive n. 6 (2020/06), le SECO a précisé que pour les demandes déposées en retard, le 17 mars 2020 était considéré comme la date de réception, si l’entreprise avait dû fermer en raison des mesures prises par les autorités et qu’elle avait déposé sa demande avant le 31 mars 2020 (date de réception / cachet de la Poste). La chambre de céans a jugé dans un arrêt de principe du 25 juin 2020 (ATAS/510/2020)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de préavis de RHT correspondait ainsi au début de la RHT et au début de l’indemnisation.</w:t>
      </w:r>
    </w:p>
    <w:p>
      <w:r>
        <w:rPr>
          <w:b/>
        </w:rPr>
        <w:t>E. 7</w:t>
      </w:r>
    </w:p>
    <w:p>
      <w:r>
        <w:t>En l’espèce, la recourante gère un établissement qui a dû fermer ses portes au public dès le 16 mars 2020. Ce n’est toutefois que le 22 décembre 2020 que les associés gérants de la société ont fait parvenir le formulaire de préavis de RHT à l’intimé. Comme cela ressort des considérants précités, même si le délai de préavis de dix jours a été temporairement abrogé, il appartenait à la recourante d’aviser l’intimé avant le début de la RHT. Dès lors qu’elle a communiqué son formulaire de préavis de RHT le 22 décembre 2020 à l’intimé, c’est - a priori - à juste titre que ce dernier lui a octroyé l’indemnité en cas de RHT qu’à compter de cette date dans sa décision reconsidérée.</w:t>
      </w:r>
    </w:p>
    <w:p>
      <w:r>
        <w:t>A/1205/2021 - 8/11 - La recourante ne peut pas se prévaloir du fait qu’elle ignorait qu’elle n’aurait droit à des indemnités de RHT que dès le dépôt de sa demande. En effet, la loi que nul n’est censé ignorer (ATF 124 V 215 consid. 2b/aa p. 220 ; arrêt du Tribunal fédéral 9C_97/2009 du 14 octobre 2009 consid. 3.3) n’a jamais consacré des versements rétroactifs d’indemnités de RHT avant la pandémie. Tout employeur est tenu d’informer l’OCE de sa volonté de réduire l’horaire de travail avant la réduction effective, le droit aux indemnités ne pouvant en effet naître rétroactivement à l’avis (arrêt du Tribunal fédéral 8C_123/2021 du 7 avril 2021 consid. 4.3 et les références mentionnées). La recourante n’invoque par ailleurs pas d’empêchement non fautif d’agir entre le</w:t>
      </w:r>
    </w:p>
    <w:p>
      <w:r>
        <w:rPr>
          <w:b/>
        </w:rPr>
        <w:t>E. 8</w:t>
      </w:r>
    </w:p>
    <w:p>
      <w:r>
        <w:t>Bien qu’obtenant partiellement gain de cause, la recourante, qui n’est pas représentée en justice et qui n’a pas allégué avoir déployé des efforts dépassant la mesure de ce que tout un chacun consacre à la gestion courante de ses affaires, n’a pas droit à des dépens.</w:t>
      </w:r>
    </w:p>
    <w:p>
      <w:r>
        <w:t>A/1205/2021 - 10/11 -</w:t>
      </w:r>
    </w:p>
    <w:p>
      <w:r>
        <w:rPr>
          <w:b/>
        </w:rPr>
        <w:t>E. 9</w:t>
      </w:r>
    </w:p>
    <w:p>
      <w:r>
        <w:t>Pour le surplus, en l’absence de loi spéciale prévoyant des frais judiciaires, la procédure est gratuite (art. 61 let. fbis LPGA en lien avec l’art. 1 al. 1 LACI). * * * * * *</w:t>
      </w:r>
    </w:p>
    <w:p>
      <w:r>
        <w:t>A/1205/2021 - 11/11 -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