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ATAS/937/2011 vom 10. Oktober 2011</w:t>
      </w:r>
    </w:p>
    <w:p>
      <w:r>
        <w:t>GE Cour de justice, 2011-10-10, FR</w:t>
      </w:r>
    </w:p>
    <w:p>
      <w:r>
        <w:rPr>
          <w:b/>
        </w:rPr>
        <w:t xml:space="preserve">Quelle: </w:t>
      </w:r>
      <w:r>
        <w:t>https://mcp.opencaselaw.ch/entscheid/ge_gerichte_ATAS_937_2011</w:t>
      </w:r>
    </w:p>
    <w:p>
      <w:r>
        <w:t>FR: GE_GERICHTE ATAS/937/2011 du 10 octobre 2011</w:t>
      </w:r>
    </w:p>
    <w:p>
      <w:r>
        <w:t>IT: GE_GERICHTE ATAS/937/2011 del 10 ottobre 2011</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a) Aux termes de l'art. 22 al. 1, première phrase LFLP, en cas de divorce, les prestations de sortie acquises durant le mariage sont partagées, conformément aux art. 122, 123, 141 et 142 du code civil. Selon l'art. 122 al. 1 CC, lorsque l'un des époux au moins est affilié à une institution de prévoyance professionnelle et qu'aucun cas de prévoyance n'est survenu, chaque époux a droit à la moitié de la prestation de sortie de son conjoint, calculée pour la durée du mariage. Toutes les prétentions issues de rapports de prévoyance soumis à la loi sur le libre passage doivent en principe être partagées en cas de divorce selon les art. 122 ss CC</w:t>
      </w:r>
    </w:p>
    <w:p>
      <w:r>
        <w:t>A/1054/2011 7/11 (Geiser, Le nouveau droit du divorce et les droits en matière de prévoyance professionnelle, in: De l'ancien au nouveau droit du divorce, Berne 1999, p. 64; Hausheer, Die wesentlichen Neuerungen des neuen Scheidungsrechts, ZBJV 1999 p. 12; Walser, BeruflicheVorsorge,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144 consid. 5.1 p. 447 et les références, 127 III 433 consid. 2bp. 437 et les références). Lorsqu'une indemnité équitable est versée à l'un des époux en vertu de l'art. 124 CC, le jugement de divorce peut prescrire qu'une partie de la prestation de sortie sera imputée sur l'indemnité équitable (art. 22b al. 1 LFLP). Cette forme de paiement présuppose qu'une prestation de sortie, ou une partie de celle-ci, est encore disponible et que - selon l'appréciation du juge du divorce - l'attribution d'une rente ou d'un capital n'entre pas en considération en raison de la situation financière de l'époux débiteur. Dans un cas de prévoyance lié à une invalidité partielle, où ce n'est pas la totalité de l'avoir de vieillesse qui est converti en une rente, mais où une partie de cet avoir est assimilé à l'avoir de vieillesse d'un assuré pleinement valide et reste susceptible - en principe - d'être partagé comme une prestation de sortie, l'indemnité équitable de l'art. 124 CC peut être versée en application de l'art. 22b LFLP (ATF 129 III 481 consid. 3.5 p. 488). Le montant concerné peut alors être transféré à l'institution de prévoyance du conjoint créancier ou versé sur un compte de libre passage ou une police de libre passage au nom du conjoint créancier (cf. ATF 132 III 145 consid. 4.5 p. 154; ATF du 10 mai 2010 9C 388/2009).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b) Par survenance d'un cas de prévoyance au sens de l'art. 122 al. 1 CC, la jurisprudence entend la naissance d'un droit concret à des prestations de la prévoyance professionnelle, qui rend impossible le partage des avoirs de prévoyance à la base des prestations servies. Ainsi, la survenance de l'âge de la retraite ou du droit à des prestations d'invalidité d'un conjoint qui n'a jamais</w:t>
      </w:r>
    </w:p>
    <w:p>
      <w:r>
        <w:t>A/1054/2011 8/11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(arrêt B 19/03 du 30 janvier 2004 consid. 5.1, in RSAS 2004 p. 572; voir également ATF 133 V 288 consid. 4.1.2 p. 291; SUTTER/FREIBURGHAUS, Kommentar zum neuen Scheidungsrecht, 1999, n° 13 ss ad art. 122/141-142 CC, n° 1 et 3 ad art. 124 CC). En matière de prévoyance professionnelle obligatoire, la survenance d'un cas de prévoyance lié à l'invalidité concorde temporellement avec la naissance du droit à des prestations d'invalidité de l'assurance-invalidité (art. 26 al. 1 LPP; ATF 135 V 13 consid. 2.6 p. 17). Le versement d'une prestation provisoire de la prévoyance professionnelle ne peut être assimilé à la survenance d'un cas de prévoyance au sens de l'art. 124 CC (ATF du 10 mai 2010 9C 388/2009). La Cour de céans doit suspendre l'exécution du partage si le droit aux prestations d'invalidité naît à une date rétroactive, avant l'entrée en force du jugement de divorce, ou s'il est vraisemblable qu'un tel droit à une rente naisse rétroactivement (ATF du 28 mars 2008 9C 899/2007).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 ATF du 21 mars 2007 précité).</w:t>
      </w:r>
    </w:p>
    <w:p>
      <w:r>
        <w:t>A/1054/2011 9/11 Lorsque le juge des assurances sociales constate que le partage des prestations de sortie ordonné par le juge du divorce est impossible et que cette impossibilité correspond à un motif d'allouer une indemnité équitable au sens de l'art. 124 al. 1 CC, il ne doit, en principe, pas entrer en matière sur la requête de partage. En tant que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l'art. 142 al. 2 CC (ATF du 10 mai 2010 précité).</w:t>
      </w:r>
    </w:p>
    <w:p>
      <w:r>
        <w:rPr>
          <w:b/>
        </w:rPr>
        <w:t>E. 4</w:t>
      </w:r>
    </w:p>
    <w:p>
      <w:r>
        <w:t>a) En l’espèce, le juge de première instance a ordonné le partage par moitié des prestations de sortie acquises durant le mariage par les demandeurs. Les dates pertinentes sont, d’une part, celle du mariage, le 29 avril 2005, d’autre part le 30 septembre 2010, date fixée par le juge du divorce. Il est à constater qu'un cas de prévoyance est effectivement survenu avant l'entrée en force du jugement de divorce le 17 mars 2011 dès lors que l'office de l'assurance-invalidité a reconnu, par une décision du 6 septembre 2011, un droit à une rente entière d'invalidité en faveur du demandeur depuis le 1er juillet 2010 à la suite d'une incapacité de travail du demandeur ayant débuté le 1er janvier 2009. Toutefois, le demandeur n'a droit à aucune prestation LPP, comme cela a été confirmé par la ZÜRICH COMPAGNIE D'ASSURANCES SUR LA VIE et SWISSCANTO FONDATION COLLECTIVE DES BANQUES CANTONALES. L'incapacité de travail à l'origine de l'invalidité est par ailleurs survenue le 1er janvier 2009 soit postérieurement à l'affiliation du demandeur auprès des institutions de prévoyance en cause, soit la ZÜRICH COMPAGNIE D'ASSURANCES SUR LA VIE, SWISSCANTO FONDATION COLLECTIVE DES BANQUES CANTONALES et la FONDATION INSTITUTION SUPPLETIVE LPP agence de la Suisse romande, lesquelles ont respectivement transmis leur avoir à la FONDATION INSTITUTION SUPPLETIVE LPP en date des 22 avril 2002, 27 juillet 2005 et 25 septembre 2007. En conséquence, le demandeur ne bénéficie d'aucune prestation d'invalidité de la prévoyance professionnelle, de sorte que son avoir déposé auprès de la FONDATION INSTITUTION SUPPLETIVE LPP peut être partagé.</w:t>
      </w:r>
    </w:p>
    <w:p>
      <w:r>
        <w:rPr>
          <w:b/>
        </w:rPr>
        <w:t>E. 5</w:t>
      </w:r>
    </w:p>
    <w:p>
      <w:r>
        <w:t>Selon les documents produits, la prestation acquise pendant le mariage par M. B__________ est de 844 fr. 86 (auprès de la FONDATION INSTITUTION SUPPLETIVE LPP), tandis que celle acquise par Mme B__________ est de 39'145 fr. 60 (auprès de la FONDATION DE PREVOYANCE ASCAM), les intérêts ayant déjà été calculés par les institutions de prévoyance défenderesses.</w:t>
      </w:r>
    </w:p>
    <w:p>
      <w:r>
        <w:t>A/1054/2011 10/11 Ainsi le demandeur doit à son ex-épouse le montant de 422 fr. 40 (844 fr. 86 : 2) et celle-ci lui doit le montant de 19'572 fr. 80 (39'145 fr. 60 : 2), de sorte que c’est la demanderesse qui doit au demandeur le montant de 19'150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A/1054/2011 11/11</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