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ATAS/937/2010 vom 15. September 2010</w:t>
      </w:r>
    </w:p>
    <w:p>
      <w:r>
        <w:t>GE Cour de justice, 2010-09-15, FR</w:t>
      </w:r>
    </w:p>
    <w:p>
      <w:r>
        <w:rPr>
          <w:b/>
        </w:rPr>
        <w:t xml:space="preserve">Quelle: </w:t>
      </w:r>
      <w:r>
        <w:t>https://mcp.opencaselaw.ch/entscheid/ge_gerichte_ATAS_937_2010</w:t>
      </w:r>
    </w:p>
    <w:p>
      <w:r>
        <w:t>FR: GE_GERICHTE ATAS/937/2010 du 15 septembre 2010</w:t>
      </w:r>
    </w:p>
    <w:p>
      <w:r>
        <w:t>IT: GE_GERICHTE ATAS/937/2010 del 15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entre le 18 décembre et le 1er janvier inclus (art. 38 al. 4 let. c et 56 ss LPGA).</w:t>
      </w:r>
    </w:p>
    <w:p>
      <w:r>
        <w:rPr>
          <w:b/>
        </w:rPr>
        <w:t>E. 3</w:t>
      </w:r>
    </w:p>
    <w:p>
      <w:r>
        <w:t>Est litigieuse en l'occurrence la question de savoir si la recourante peut prétendre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w:t>
      </w:r>
    </w:p>
    <w:p>
      <w:r>
        <w:t>A/101/2010 - 12/17 -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6</w:t>
      </w:r>
    </w:p>
    <w:p>
      <w:r>
        <w:t>Selon l’art. 28 al. 2 LAI dans sa teneur dès le 1er janvier 2008 (art.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 Selon l'art. 27 première phrase RAI, par travaux habituels des assurés travaillant dans le ménage, il faut entendre notamment l’activité usuelle dans le ménage, l’éducation des enfants ainsi que toute activité artistique ou d’utilité publique. En ce qui concerne l'incapacité d'accomplir les travaux habituels en raison d'une atteinte à la santé, l'enquête économique sur le ménage effectuée au domicile de</w:t>
      </w:r>
    </w:p>
    <w:p>
      <w:r>
        <w:t>A/101/2010 - 13/17 - l'assuré (cf. art. 69 al. 2 RAI) constitue en règle générale une base appropriée et suffisante pour évaluer les empêchements dans ce domaine (sur les exigences relatives à la valeur probante d'un tel rapport d'enquête, voir arrêt I 90/02 du 30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arrêt 9C 108/2009 du 29 octobre 2009).</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A/101/2010 - 14/17 -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A/101/2010 - 15/17 -</w:t>
      </w:r>
    </w:p>
    <w:p>
      <w:r>
        <w:rPr>
          <w:b/>
        </w:rPr>
        <w:t>E. 9</w:t>
      </w:r>
    </w:p>
    <w:p>
      <w:r>
        <w:t>En l'occurrence, il y a lieu d'évaluer la capacité de travail de la recourante dans une activité lucrative et dans le ménage. En effet, elle a déclaré à l'enquêtrice qu'elle aurait travaillé à 40 %, si elle était en bonne santé. Selon l'expert judiciaire, la recourante souffre d'un trouble de la personnalité émotionnellement labile, type borderline, d'une dysthymie et d'un trouble dépressif récurrent, actuellement en rémission. Pour ce qui concerne l'activité lucrative, il estime qu'elle subit une perte de rendement de 40 %, sur le plan psychiatrique. Sa capacité de travail est donc de 60 % dans ce domaine, selon l'expert. Il convient d'attribuer une pleine valeur probante à cette expertise, dès lors qu'elle a été rendue en connaissance du dossier médical, qu'elle repose sur des examens approfondis et prend en considération les plaintes de l'assurée. Par ailleurs, les conclusions de l'expert sont convaincantes. Il est vrai que, s'agissant de l'appréciation de la capacité de travail, les avis des Drs O___________ et R___________ sont divergents. En effet, selon ceux-ci, la recourante présente une incapacité totale de travailler. Toutefois, indépendamment du fait que les avis des médecins traitants ont moins de crédibilité que ceux d'experts et de médecins extérieurs, il est à relever que la recourante est toujours en mesure de s'occuper de son ménage avec trois enfants. Elle n'a pas de problèmes particuliers pour l'organisation du ménage, comme cela ressort de l'enquête économique sur le ménage du 27 octobre 2009. En outre, l'expert a relevé qu'elle est capable de surfer sur internet, de se faire livrer des commissions à domicile et de faire appel à des aides si nécessaire. Il a aussi expliqué que le trouble de la personnalité était d'une sévérité moyenne et que la comorbité de ce trouble était actuellement peu sévère, Dans ces conditions, les conclusions de l'expertise judiciaire emportent la conviction du Tribunal de céans. Sur le plan physique, une incapacité de travail de 50 % a été retenue par les médecins du SMR dans l'activité exercée précédemment en tant que collaboratrice dans un centre de jeunes. Selon ces médecins, sa capacité de travail est entière, sur le plan physique, dans une activité respectant les limitations fonctionnelles. Cet avis n'est pas contredit par les médecins traitants, pour ce qui concerne les limitations physiques. En effet, si certains de ceux-ci considèrent que la capacité de travail est nulle, cela tient à des atteintes psychiatriques, comme cela ressort des rapports des Drs O___________ et R___________. Au vu de ce qui précède, une capacité de travail de 60 % dans une activité adaptée peut être retenue. Dès lors que la recourante a déclaré qu'elle n'aurait travaillé qu'à 40 %, pour pouvoir se consacrer à ses enfants, aucune perte de gain ne peut être retenue pour ce qui concerne l'activité lucrative. Quant à l'incapacité de travail dans le ménage, les empêchements dans cette sphère ne représentent que 9,5 %, en tenant compte de l'aide apportée par les enfants, selon</w:t>
      </w:r>
    </w:p>
    <w:p>
      <w:r>
        <w:t>A/101/2010 - 16/17 - l'enquêtrice. Cela ne paraît pas être contesté par la recourante qui a déclaré, à l'audience de comparution personnelle, qu'elle arrive bien à s'occuper de ses enfants. Au vu de ce qui précède, seul un taux d'invalidité de 3,8 % peut être admis (40 % de 9,5 %). Un tel degré d'invalidité est manifestement insuffisant pour ouvrir le droit aux prestations.</w:t>
      </w:r>
    </w:p>
    <w:p>
      <w:r>
        <w:rPr>
          <w:b/>
        </w:rPr>
        <w:t>E. 10</w:t>
      </w:r>
    </w:p>
    <w:p>
      <w:r>
        <w:t>Cela étant, le recours sera rejeté.</w:t>
      </w:r>
    </w:p>
    <w:p>
      <w:r>
        <w:rPr>
          <w:b/>
        </w:rPr>
        <w:t>E. 11</w:t>
      </w:r>
    </w:p>
    <w:p>
      <w:r>
        <w:t>Dans la mesure où la recourante plaide au bénéfice de l'assistance juridique, le Tribunal de céans renonce à percevoir un émolument de justice.</w:t>
      </w:r>
    </w:p>
    <w:p>
      <w:r>
        <w:t>A/101/2010 - 17/17 -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