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ATAS/936/2015 vom 4. November 2008</w:t>
      </w:r>
    </w:p>
    <w:p>
      <w:r>
        <w:t>GE Cour de justice, 2008-11-04, FR</w:t>
      </w:r>
    </w:p>
    <w:p>
      <w:r>
        <w:rPr>
          <w:b/>
        </w:rPr>
        <w:t xml:space="preserve">Quelle: </w:t>
      </w:r>
      <w:r>
        <w:t>https://mcp.opencaselaw.ch/entscheid/ge_gerichte_ATAS_936_2015</w:t>
      </w:r>
    </w:p>
    <w:p>
      <w:r>
        <w:t>FR: GE_GERICHTE ATAS/936/2015 du 4 novembre 2008</w:t>
      </w:r>
    </w:p>
    <w:p>
      <w:r>
        <w:t>IT: GE_GERICHTE ATAS/936/2015 del 4 novembre 2008</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w:t>
      </w:r>
    </w:p>
    <w:p>
      <w:r>
        <w:t>- 11/22-</w:t>
      </w:r>
    </w:p>
    <w:p>
      <w:r>
        <w:t>A/981/2014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les forme et délai prévus par la loi, le recours est recevable, en vertu des art. 56 ss LPGA.</w:t>
      </w:r>
    </w:p>
    <w:p>
      <w:r>
        <w:rPr>
          <w:b/>
        </w:rPr>
        <w:t>E. 5</w:t>
      </w:r>
    </w:p>
    <w:p>
      <w:r>
        <w:t>Le litige porte sur le bien-fondé du rejet de la nouvelle demande de la recourante. En d’autres termes, la question est de savoir si l’état de l’assurée s’est modifié depuis le 4 novembre 2008 - date de la première décision de l’intimé - au point de lui ouvrir droit aux prestations de l’assurance-invalidité.</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donc comparé avec celui qu'il pourrait obtenir en exerçant l'activité qui peut raisonnablement être exigée de lui après les traitements et les mesures de réadaptation, sur un marché du travail équilibré (art. 16 LPGA et art. 28 al. 2 LAI).</w:t>
      </w:r>
    </w:p>
    <w:p>
      <w:r>
        <w:t>- 12/22-</w:t>
      </w:r>
    </w:p>
    <w:p>
      <w:r>
        <w:t>A/981/2014</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Le Tribunal fédéral a durant longtemps déterminé les conditions auxquelles des tableaux cliniques psychosomatiques (cf. ATF 137 V 64, consid. 4.3, p. 69) pouvaient donner droit à une rente d’invalidité (ATF 130 V 352, consid. 2.2.2, p. 353, ATF 131 V 49,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w:t>
      </w:r>
    </w:p>
    <w:p>
      <w:r>
        <w:t>- 13/22-</w:t>
      </w:r>
    </w:p>
    <w:p>
      <w:r>
        <w:t>A/981/2014 maladie, « fuite dans la maladie ») et l'échec de traitements ambulatoires ou stationnaires conformes aux règles de l’art (même avec différents types de traitement), en dépit de l'attitude coopérative de le personne assurée (ATF 130 V 352). Mais dans un arrêt récent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w:t>
      </w:r>
    </w:p>
    <w:p>
      <w:r>
        <w:rPr>
          <w:b/>
        </w:rPr>
        <w:t>E. 9</w:t>
      </w:r>
    </w:p>
    <w:p>
      <w:r>
        <w:t>Les observations médicales constituent le point de départ de l’examen du droit à la rente conformément aux art. 4 al. 1 LAI et 6 ss LPGA (en particulier l’art. 7 al. 2 LPGA)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 À cet égard, le Tribunal fédéral a émis l’avis que le diagnostic de syndrome douloureux somatoforme persistant était sans doute posé nettement trop fréquemment. En conséquence, les experts doivent le justifier de manière à ce que les personnes chargées d’appliquer le droit puissent vérifier que les critères de classification ont effectivement été observés. La « plainte essentielle » doit concerner « une douleur persistante, intense, s’accompagnant d’un sentiment de détresse ». Le diagnostic d’un syndrome douloureux somatoforme suppose par définition des atteintes aux fonctions utiles à la gestion de la vie quotidienne. Enfin, selon la CIM-10 (F45.4), « le trouble assure habituellement au patient une aide et</w:t>
      </w:r>
    </w:p>
    <w:p>
      <w:r>
        <w:t>- 14/22-</w:t>
      </w:r>
    </w:p>
    <w:p>
      <w:r>
        <w:t>A/981/2014 une sollicitude accrues de la part de son entourage et des médecins » (arrêt op. cit., consid. 2.1.2). Les experts doivent donc donner des explications quant au diagnostic, afin d’établir le caractère de maladie, mais également les atteintes concrètes des fonctions nécessaires à la gestion du quotidien, lesquelles seront aussi reprises dans l’estimation de la capacité de travail. À cet égard, il ne faut inclure dans la « preuve cohérente d’une activité et d’une participation perturbées » que des déficits fonctionnels émanant des observations qui ont également été déterminantes pour le diagnostic de l’atteinte à la santé, en confirmant ou en rejetant des limitations fonctionnelles alléguées par un examen consciencieux de plausibilité (arrêt op. cit. consid. 2.1.2 ; ATF 140 V 290 consid. 3.3.1, p. 296 et consid. 3.3.2 au début, p. 297).</w:t>
      </w:r>
    </w:p>
    <w:p>
      <w:r>
        <w:rPr>
          <w:b/>
        </w:rPr>
        <w:t>E. 10</w:t>
      </w:r>
    </w:p>
    <w:p>
      <w:r>
        <w:t>Le diagnostic du syndrome douloureux somatoforme persistant basé sur les concepts du système médical de classification n’amenant à constater une importante atteinte à la santé relevant du droit de l’assurance-invalidité que si le diagnostic est valable également du point de vue des motifs d’exclusion cités dans l’ATF 131 V 49, il conviendra également que les experts se prononcent sur l’existence ou non de ceux-ci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w:t>
      </w:r>
    </w:p>
    <w:p>
      <w:r>
        <w:rPr>
          <w:b/>
        </w:rPr>
        <w:t>E. 11</w:t>
      </w:r>
    </w:p>
    <w:p>
      <w:r>
        <w:t>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w:t>
      </w:r>
    </w:p>
    <w:p>
      <w:r>
        <w:t>- 15/22-</w:t>
      </w:r>
    </w:p>
    <w:p>
      <w:r>
        <w:t>A/981/2014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w:t>
      </w:r>
    </w:p>
    <w:p>
      <w:r>
        <w:rPr>
          <w:b/>
        </w:rPr>
        <w:t>E. 12</w:t>
      </w:r>
    </w:p>
    <w:p>
      <w:r>
        <w:t>La nouvelle approche préconisée par le Tribunal fédéral entraîne des adaptations dans la formulation des indicateurs et un certain élargissement matériel des aspects déterminants de l’examen. S’il est ainsi possible de se baser sur la liste de critères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 comorbidité psychique et de renoncer à faire référence au bénéfice primaire de la maladie.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w:t>
      </w:r>
    </w:p>
    <w:p>
      <w:r>
        <w:rPr>
          <w:b/>
        </w:rPr>
        <w:t>E. 13</w:t>
      </w:r>
    </w:p>
    <w:p>
      <w:r>
        <w:t>a. Le premier indicateur mentionné est celui de « l’expression des éléments pertinents pour le diagnostic et des symptômes ». À cet égard, on attend des experts que leurs constatations relatives aux manifestations concrètes de l’atteinte à la santé diagnostiquée permettent de distinguer les limitations fonctionnelles qui résultent de l’atteinte des conséquences (directes) de facteurs non assurés. Le point de départ est le degré de gravité minimal inhérent au diagnostic. C’est dans ce cadre qu’il convient d’examiner, par exemple, s’il y a exagération sans qu’il faille a priori exclure de ce fait une atteinte à la santé significative sur le plan juridique. b. Le second indicateur mentionné est le succès du traitement ou la résistance à cet égard, c’est-à-dire l’évolution et le résultat des thérapies.</w:t>
      </w:r>
    </w:p>
    <w:p>
      <w:r>
        <w:t>- 16/22-</w:t>
      </w:r>
    </w:p>
    <w:p>
      <w:r>
        <w:t>A/981/2014 c. Le troisième indicateur réunit les anciens critères de « comorbidité psychiatrique » et de « maladies physiques concomitantes », en vertu de la nécessité de l’approche globale des interactions et autres corrélations du trouble douloureux avec l’ensemble des pathologies concomitantes préconisée par le Tribunal fédéral.</w:t>
      </w:r>
    </w:p>
    <w:p>
      <w:r>
        <w:t>Il est renoncé à l’importance prépondérante accordée jusqu’alors à la comorbidité psychiatrique : la comorbidité psychique n’est plus prioritaire de manière générale mais ne doit être prise en considération qu’en fonction de son importance concrète dans le cas d’espèce, par exemple pour juger si elle prive la personne assurée de ressources. Une dépression ne perd plus toute signification en tant que facteur d’affaiblissement potentiel des ressources du seul fait de sa connexité médicale (éventuelle) avec le trouble douloureux. Toutefois, les tableaux cliniques qui apparaissent comme de simples variantes de la même entité dans des qualifications différentes sur le plan diagnostique sur la base de symptômes identiques ne constituent d’emblée pas une comorbidité. Sinon, l’atteinte à la santé pouvant être qualifiée et décrite de plusieurs manières serait évaluée à double. d. À ces trois premiers indicateurs concernant le degré de gravité fonctionnel de l’atteinte à la santé, s’ajoute un quatrième, relatif à la personnalité. En effet, du fait de la prise en compte renforcée des ressources, le complexe de la personnalité (développement et structure de la personnalité, fonctions psychiques fondamentales) gagne en importance. Cela recouvre non seulement les formes classiques du diagnostic de la personnalité - qui vise à saisir la structure et les troubles de la personnalité - , mais également le concept de ce qu’on appelle les « fonctions complexes du Moi » - qui désigne les capacités inhérentes à la personnalité. Il s’agit de tirer des déductions sur la capacité de travail (conscience de soi et de l’autre, épreuve de réalité et la formation du jugement, contrôle des affects et des impulsions, capacité à se référer à un objet, motivation, notamment) et de clarifier les répercussions fonctionnelles de l’atteinte à la santé. e. Enfin, le contexte social, qui influence aussi la manière dont se manifestent concrètement les effets de l’atteinte à la santé, constitue un cinquième indicateur.</w:t>
      </w:r>
    </w:p>
    <w:p>
      <w:r>
        <w:rPr>
          <w:b/>
        </w:rPr>
        <w:t>E. 14</w:t>
      </w:r>
    </w:p>
    <w:p>
      <w:r>
        <w:t>L’aspect de la cohérence étant décisif en matière de preuve (arrêt op. cit. consid. 4.4), des indicateurs sont là aussi envisagés par le Tribunal fédéral. 1. En premier lieu, celui de la limitation uniforme du niveau d’activité dans tous les domaines comparables de la vie, qui revient à se demander si la limitation en question se manifeste de la même manière dans la profession et l’activité rémunérée (ou, pour les personnes sans activité lucrative, dans les actes habituels de la vie), d’une part, et dans les autres domaines de la vie (p. ex. l’organisation des loisirs), d’autre part. L’ancien critère du retrait social doit être interprété de telle sorte qu’il ne se réfère pas qu’à des limitations mais concerne aussi les ressources ; à l’inverse,</w:t>
      </w:r>
    </w:p>
    <w:p>
      <w:r>
        <w:t>- 17/22-</w:t>
      </w:r>
    </w:p>
    <w:p>
      <w:r>
        <w:t>A/981/2014 un retrait conditionné par une maladie peut cependant aussi diminuer encore les ressources. Il est recommandé d’effectuer aussi une comparaison avec le niveau d’activité sociale avant la survenance de l’atteinte à la santé. Le niveau d’activité de la personne assurée doit toujours être considéré en relation avec l’incapacité de travail alléguée (arrêt op. cit. consid. 4.4.1). 2. En second lieu, la prise en compte d’options thérapeutiques, autrement dit la mesure dans laquelle les traitements sont mis à profit ou alors négligés, permet (en complément au point de vue du succès du traitement et de la réadaptation ou de la résistance à ceux-ci) d’évaluer le poids effectif des souffrances. Tel n’est toutefois le cas que si le comportement en question n’est pas influencé par la procédure en cours en matière d’assurance. Il ne faut pas conclure à l’absence de lourdes souffrances lorsqu’il est clair que le refus ou la mauvaise acceptation d’une thérapie recommandée et accessible doit être attribué à une incapacité (inévitable) de la personne assurée à reconnaître sa maladie. De manière similaire, il faut tenir compte du comportement de la personne assurée dans le cadre de sa réadaptation professionnelle (et de ses propres efforts de réadaptation) : un comportement manquant de cohérence est, là aussi, un indice que la limitation alléguée serait due à d’autres raisons qu’une atteinte à la santé assurée (arrêt op. cit. consid 4.4.2).</w:t>
      </w:r>
    </w:p>
    <w:p>
      <w:r>
        <w:rPr>
          <w:b/>
        </w:rPr>
        <w:t>E. 15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- 18/22-</w:t>
      </w:r>
    </w:p>
    <w:p>
      <w:r>
        <w:t>A/981/2014 probables (ATF 130 III 321 consid. 3.2 et 3.3, ATF 126 V 353 consid. 5b, ATF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Il convient encore de préciser que les expertises mises en œuvre selon l’ancien standard de procédure ne perdent pas en soi valeur de preuve : il convient de procéder à un examen global du cas particulier avec ses spécificités et les griefs invoqués et d’examiner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suffire (cf. arrêt du TF op. cit. consid. 8).</w:t>
      </w:r>
    </w:p>
    <w:p>
      <w:r>
        <w:rPr>
          <w:b/>
        </w:rPr>
        <w:t>E. 16</w:t>
      </w:r>
    </w:p>
    <w:p>
      <w:r>
        <w:t>Datez la survenance de l’incapacité de travail durable, le cas échéant, indiquez l'évolution de son taux et décrire son évolution, plus particulièrement depuis fin 2008.</w:t>
      </w:r>
    </w:p>
    <w:p>
      <w:r>
        <w:rPr>
          <w:b/>
        </w:rPr>
        <w:t>E. 17</w:t>
      </w:r>
    </w:p>
    <w:p>
      <w:r>
        <w:t>Évaluez l'exigibilité, en pourcent, d'une activité lucrative adaptée, indiquez depuis quand une telle activité est exigible et quel(s) serai(en)t le(s) domaine(s) d'activité adapté(s).</w:t>
      </w:r>
    </w:p>
    <w:p>
      <w:r>
        <w:rPr>
          <w:b/>
        </w:rPr>
        <w:t>E. 18</w:t>
      </w:r>
    </w:p>
    <w:p>
      <w:r>
        <w:t>Indiquez s’il y a une diminution de rendement et chiffrez-la.</w:t>
      </w:r>
    </w:p>
    <w:p>
      <w:r>
        <w:rPr>
          <w:b/>
        </w:rPr>
        <w:t>E. 19</w:t>
      </w:r>
    </w:p>
    <w:p>
      <w:r>
        <w:t>Évaluez la possibilité d'améliorer la capacité de travail par des mesures médicales. Indiquez quelles seraient les propositions thérapeutiques et leur influence sur la capacité de travail.</w:t>
      </w:r>
    </w:p>
    <w:p>
      <w:r>
        <w:rPr>
          <w:b/>
        </w:rPr>
        <w:t>E. 20</w:t>
      </w:r>
    </w:p>
    <w:p>
      <w:r>
        <w:t>S'agissant plus particulièrement des troubles psychiques, veuillez répondre aux questions suivantes :</w:t>
      </w:r>
    </w:p>
    <w:p>
      <w:r>
        <w:t>- 22/22-</w:t>
      </w:r>
    </w:p>
    <w:p>
      <w:r>
        <w:t>A/981/2014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 t-il cohérent ? Pourquoi ?</w:t>
      </w:r>
    </w:p>
    <w:p>
      <w:r>
        <w:rPr>
          <w:b/>
        </w:rPr>
        <w:t>E. 21</w:t>
      </w:r>
    </w:p>
    <w:p>
      <w:r>
        <w:t>Commentez et discutez les avis médicaux du SMR, des experts s’étant déjà prononcés et des médecins traitants et indiquez - cas échéant - pour quelles raisons ces avis sont confirmés ou écartés.</w:t>
      </w:r>
    </w:p>
    <w:p>
      <w:r>
        <w:rPr>
          <w:b/>
        </w:rPr>
        <w:t>E. 22</w:t>
      </w:r>
    </w:p>
    <w:p>
      <w:r>
        <w:t>Formulez un pronostic global.</w:t>
      </w:r>
    </w:p>
    <w:p>
      <w:r>
        <w:rPr>
          <w:b/>
        </w:rPr>
        <w:t>E. 23</w:t>
      </w:r>
    </w:p>
    <w:p>
      <w:r>
        <w:t>Toute remarque utile et proposition des experts. 5. Invite les experts à faire une appréciation consensuelle du cas s’agissant de toutes les problématiques ayant des interférences entre-elles, notamment l’appréciation de la capacité de travail résiduelle. 6. Invite les experts à déposer à leur meilleure convenance un rapport en trois exemplaires à la chambre de céans. 7. Réserve le fond.</w:t>
      </w:r>
    </w:p>
    <w:p>
      <w:r>
        <w:t>La greffière</w:t>
      </w:r>
    </w:p>
    <w:p>
      <w:r>
        <w:t>Marie-Catherine SÉCHAUD</w:t>
      </w:r>
    </w:p>
    <w:p>
      <w:r>
        <w:t>La Présidente</w:t>
      </w:r>
    </w:p>
    <w:p>
      <w:r>
        <w:t>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