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ATAS/936/2013 vom 10. September 2013</w:t>
      </w:r>
    </w:p>
    <w:p>
      <w:r>
        <w:t>GE Cour de justice, 2013-09-10, FR</w:t>
      </w:r>
    </w:p>
    <w:p>
      <w:r>
        <w:rPr>
          <w:b/>
        </w:rPr>
        <w:t xml:space="preserve">Quelle: </w:t>
      </w:r>
      <w:r>
        <w:t>https://mcp.opencaselaw.ch/entscheid/ge_gerichte_ATAS_936_2013</w:t>
      </w:r>
    </w:p>
    <w:p>
      <w:r>
        <w:t>FR: GE_GERICHTE ATAS/936/2013 du 10 septembre 2013</w:t>
      </w:r>
    </w:p>
    <w:p>
      <w:r>
        <w:t>IT: GE_GERICHTE ATAS/936/2013 del 10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Déposé dans la forme et le délai prescrits, le recours est recevable (art. 9 LPCF, art. 38 al. 4, 56 al. 1 et 61 al. 1 LPGA; art. 43 LPCC).</w:t>
      </w:r>
    </w:p>
    <w:p>
      <w:r>
        <w:rPr>
          <w:b/>
        </w:rPr>
        <w:t>E. 4</w:t>
      </w:r>
    </w:p>
    <w:p>
      <w:r>
        <w:t>Le litige porte sur le droit du SPC de réclamer la restitution à l'intéressée des prestations versées à tort du 1er octobre 2005 au 30 novembre 2012.</w:t>
      </w:r>
    </w:p>
    <w:p>
      <w:r>
        <w:t>A/1585/2013 - 6/16 -</w:t>
      </w:r>
    </w:p>
    <w:p>
      <w:r>
        <w:rPr>
          <w:b/>
        </w:rPr>
        <w:t>E. 5</w:t>
      </w:r>
    </w:p>
    <w:p>
      <w:r>
        <w:t>a) L'intéressée a, préalablement, demandé la restitution de l'effet suspensif. Le SPC, dans ses écritures du 22 juillet 2013, s'y est opposé. b)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Pour le reste, conformément à l’art. 55 al. 1 LPGA qui prévoit que les points de procédure qui ne sont pas réglés de manière exhaustive par les art. 27 à 54 LPGA ou par les dispositions des lois spéciales sont régis par la loi fédérale sur la procédure administrative du 20 décembre 1968 (PA ; RS 172.021), il convient de se référer aux articles 55 et 56 de cette dernière (cf. ég. art. 97 LAVS, teneur en vigueur dès le 1er janvier 2003). c) Force est en l'espèce de constater que dans sa décision sur opposition, le SPC n'a en réalité pas retiré l'effet suspensif à sa décision en cas d'éventuel recours. La demande est dès lors sans objet, le dépôt du recours ayant précisément pour effet que la décision litigieuse n'est pas exécutoire (art. 66 al. 1 LPA). Il y a lieu de relever que le rétablissement de l'effet suspensif se serait quoi qu'il en soit justifié par le fait que le litige porte sur une décision de remboursement (cf. notamment ATAS/924/2012).</w:t>
      </w:r>
    </w:p>
    <w:p>
      <w:r>
        <w:rPr>
          <w:b/>
        </w:rPr>
        <w:t>E. 6</w:t>
      </w:r>
    </w:p>
    <w:p>
      <w:r>
        <w:t>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w:t>
      </w:r>
    </w:p>
    <w:p>
      <w:r>
        <w:t>A/1585/2013 - 7/16 -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7</w:t>
      </w:r>
    </w:p>
    <w:p>
      <w:r>
        <w:t>Dans le cas d'espèce, l'intéressée a omis d'annoncer des avoirs bancaires et postaux la concernant elle-même, ainsi que son fils. et dont le SPC n'a, partant, pas tenu compte dans le calcul des prestations qu'il lui a versées. Que l'intéressée ait pensé qu'il appartenait à la curatrice de son fils, puis à la grand-mère paternelle, de communiquer les informations nécessaires, relève de l'examen de la bonne foi, à effectuer ultérieurement dans le cadre de la demande de remise. Il y a en effet lieu de rappeler que la restitution de prestations vise à rétablir une situation conforme au droit, sans égard à l'éventuelle bonne foi de l'intéressée. Les conditions pour exiger la restitution des prestations indûment perçues sont ainsi remplies.</w:t>
      </w:r>
    </w:p>
    <w:p>
      <w:r>
        <w:rPr>
          <w:b/>
        </w:rPr>
        <w:t>E. 8</w:t>
      </w:r>
    </w:p>
    <w:p>
      <w:r>
        <w:t>Il y a également lieu de confirmer que les prestations versées à tort pour son fils entrent dans la demande de restitution à elle adressée (art. 9 al. 2 LPC et 7 OPC- AVS/AI).</w:t>
      </w:r>
    </w:p>
    <w:p>
      <w:r>
        <w:rPr>
          <w:b/>
        </w:rPr>
        <w:t>E. 9</w:t>
      </w:r>
    </w:p>
    <w:p>
      <w:r>
        <w:t>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w:t>
      </w:r>
    </w:p>
    <w:p>
      <w:r>
        <w:t>A/1585/2013 - 8/16 -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w:t>
      </w:r>
    </w:p>
    <w:p>
      <w:r>
        <w:rPr>
          <w:b/>
        </w:rPr>
        <w:t>E. 10</w:t>
      </w:r>
    </w:p>
    <w:p>
      <w:r>
        <w:t>Selon l’art. 30 de l’ordonnance sur les prestations complémentaires à l’assurance- 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 fondé de l'obligation de restitution à la lumière des conditions objectives de l'art. 47</w:t>
      </w:r>
    </w:p>
    <w:p>
      <w:r>
        <w:t>A/1585/2013 - 9/16 -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(ATF du 14 août 2001, P 32/01).</w:t>
      </w:r>
    </w:p>
    <w:p>
      <w:r>
        <w:rPr>
          <w:b/>
        </w:rPr>
        <w:t>E. 11</w:t>
      </w:r>
    </w:p>
    <w:p>
      <w:r>
        <w:t>En l'espèce, l'intéressée ne conteste pas que le SPC n'ait été informé de l'existence des avoirs bancaires et postaux et de l'héritage reçu par son fils que par son courrier du 30 novembre 2011, complété entre mars et octobre 2012, suite à la décision du SPC de supprimer les prestations faute d'avoir reçu les documents demandés dans le cadre de la révision du dossier. Il résulte des pièces figurant dans le dossier que ce n'est que le 23 avril 2012 - date du timbre de réception apposé sur les ordonnances du Tribunal tutélaire plus particulièrement – que le SPC a eu en mains tous les justificatifs de l'héritage reçu par le fils de l'intéressée. Selon la jurisprudence, l'obligation du SPC de procéder tous les 4 ans à la révision du dossier ne permet pas de fixer le début du délai de péremption d'un an de l'art. 25 LPGA à la date à laquelle la révision devait avoir lieu. L'omission par l'administration de procéder aux contrôles périodiques prescrits par l'art. 30 OPC- 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(ATF P 39/05 du 10 juillet 2006). L'intéressée a régulièrement été invitée à vérifier que les plans de calculs correspondaient à la réalité de sa situation et de celle de son fils. On ne peut donc pas retenir que le SPC aurait pu et dû, en faisant preuve de diligence, connaître plus tôt l'existence des comptes bancaires non déclarés et de l'héritage. Le délai de péremption d'un an commençant à courir seulement lorsque le SPC dispose de l'ensemble des éléments permettant de réclamer la restitution des prestations indûment perçues, y compris quant au montant dû, ce qui implique de vérifier, après avoir découvert des avoirs dont il ne connaissait pas l'existence, les autres éléments de calcul des prestations, il s'ensuit que c'est dans le délai de</w:t>
      </w:r>
    </w:p>
    <w:p>
      <w:r>
        <w:t>A/1585/2013 - 10/16 - péremption d'une année dès la connaissance de toutes les informations utiles que le SPC a demandé la restitution des prestations versées à tort.</w:t>
      </w:r>
    </w:p>
    <w:p>
      <w:r>
        <w:rPr>
          <w:b/>
        </w:rPr>
        <w:t>E. 12</w:t>
      </w:r>
    </w:p>
    <w:p>
      <w:r>
        <w:t>L'art. 25 al. 2 LPGA prévoit également que "Le droit de demander la restitution s’éteint (…) au plus tard cinq ans après le versement de la prestation. Si la créance naît d’un acte punissable pour lequel le droit pénal prévoit un délai de prescription plus long, celui-ci est déterminant." Le délai de péremption absolu de cinq ans commence à courir à la date du versement effectif de la prestation (ATF 112 V 180 consid. 4a; 111 V 14 consid. 3).</w:t>
      </w:r>
    </w:p>
    <w:p>
      <w:r>
        <w:rPr>
          <w:b/>
        </w:rPr>
        <w:t>E. 13</w:t>
      </w:r>
    </w:p>
    <w:p>
      <w:r>
        <w:t>En réclamant à l'intéressée le remboursement des prestations versées à tort depuis le 1er octobre 2005, le SPC a appliqué le délai de prescription pénal.</w:t>
      </w:r>
    </w:p>
    <w:p>
      <w:r>
        <w:rPr>
          <w:b/>
        </w:rPr>
        <w:t>E. 14</w:t>
      </w:r>
    </w:p>
    <w:p>
      <w:r>
        <w:t>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w:t>
      </w:r>
    </w:p>
    <w:p>
      <w:r>
        <w:t>A/1585/2013 - 11/16 -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w:t>
      </w:r>
    </w:p>
    <w:p>
      <w:r>
        <w:t>A/1585/2013 - 12/16 -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(dissimulation d’un fait vrai) que s'il se trouve dans une position de garant vis-à-vis de l’autorité. En l'absence de contrat ou de rapport de confiance spécial, seule la loi peut le placer dans une telle situation. Dans l’arrêt non publié 6S.288/2000 du 28 septembre 2000 (consid. 4b/bb), après avoir examiné les dispositions légales applicables (art. 5 al. 2 LPC dans sa teneur jusqu’au 31 décembre 1997, art. 20 OPC-AVS/AI, dans sa version en vigueur du 1er janvier 1990 au 1er janvier 1998 et art. 24 OPC-AVS/AI, toujours en vigueur), le Tribunal fédéral a à cet égard considéré que l'assuré ne se trouvait pas dans une position de garant envers l'autorité, dans la mesure où il n'avait aucune responsabilité particulière envers celle-ci. Dans l’ATF 131 IV 83 - postérieur à l’abrogation des art. 5 al. 2 LPC et 20 OPC-AVS/AI - le Tribunal</w:t>
      </w:r>
    </w:p>
    <w:p>
      <w:r>
        <w:t>A/1585/2013 - 13/16 -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précité reste pleinement applicable.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w:t>
      </w:r>
    </w:p>
    <w:p>
      <w:r>
        <w:t>A/1585/2013 - 14/16 -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non publié 6S.288/2000 du 28 septembre 2000). La Cour de céans a admis la commission d'un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 la qualité d'employeur et, d'autre part, l'assuré a confirmé à trois reprises un domicile à Genève, correspondant à celui inscrit au registre de l'office cantonal de la population, alors que toute la famille habitait en France. La Cour a retenu que l'examen de ces deux registres publics était une vérification usuelle et suffisante pour l'adresse, une enquête approfondie n'étant pas systématiquement exigible de l'administration, et le seul moyen de vérification pour la qualité d'administrateur (ATAS 862/2011). Dans un arrêt du 10 janvier 2012, la Cour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(ATAS/3/2012).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Cour de céans avait estimé que la négligence dont avait fait preuve l'administration en n'entreprenant aucune démarche de vérification depuis l'octroi initial du droit avait rendu impossible la commission d'une escroquerie et, partant, l'application du délai de</w:t>
      </w:r>
    </w:p>
    <w:p>
      <w:r>
        <w:t>A/1585/2013 - 15/16 - prescription plus long prévu par le droit pénal (ATAS/654/2011). Cet arrêt a cependant été annulé par le TF, au motif que rien ne permettait au SPC d'envisager la modification survenue dans la situation financière de l'assuré (ATF 9C_622/2011; cf. également ATAS/914/2012 du 19 juillet 2012). C'est ainsi que, se fondant a contrario sur cet arrêt du TF, la Cour de céans a estimé dans un cas jugé le 9 avril 2013 (ATAS/326/2013) que l'assuré ne s'était pas rendu coupable d'escroquerie, alors qu'il avait tu l'existence d'une rente française, au motif que le SPC avait été informé de ce qu'il était né en France et y avait vécu jusqu'à l'âge de 37 ans, de sorte qu'il y avait beaucoup de chances qu'il soit mis au bénéfice d'une rente française. Or, le SPC n'avait procédé à aucune investigation qui lui aurait permis de se rendre compte de l'existence d'une telle rente.</w:t>
      </w:r>
    </w:p>
    <w:p>
      <w:r>
        <w:rPr>
          <w:b/>
        </w:rPr>
        <w:t>E. 15</w:t>
      </w:r>
    </w:p>
    <w:p>
      <w:r>
        <w:t>En l'espèce, l'assurée n'a pas déclaré au SPC ses avoirs bancaires et postaux et ceux de son fils, ni l'héritage de celui-ci. Elle a de la sorte violé son obligation d'informer le SPC de tout changement survenu dans sa situation économique et a ainsi commis une tromperie par omission. Reste à déterminer si cette violation est constitutive d'une tromperie astucieuse. Force est de répondre à cette question par l'affirmative. On ne saurait effectivement reprocher au SPC d'avoir fait preuve de négligence puisque celui-ci avait satisfait à son obligation d'établir la situation financière de l'assurée et dans celle de son fils (revenus, fortune, dépenses) lors de la détermination initiale du droit aux prestations et que, par la suite rien ne lui permettait d'envisager la modification survenue. C'est dès lors à juste titre que le SPC a réclamé le remboursement des prestations versées à tort en remontant sur plus de cinq ans. Aussi le recours ne peut-il être que rejeté.</w:t>
      </w:r>
    </w:p>
    <w:p>
      <w:r>
        <w:rPr>
          <w:b/>
        </w:rPr>
        <w:t>E. 16</w:t>
      </w:r>
    </w:p>
    <w:p>
      <w:r>
        <w:t>Il y a enfin lieu de rappeler que la restitution ne peut être exigée lorsque l’intéressé était de bonne foi et qu’elle le mettrait dans une situation difficile (art. 25 al. 1 LPGA). La Cour de céans rappelle que la question de la bonne foi de l'intéressée,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l'assurée, ce critère ne pouvant être examiné, le cas échéant, que dans un deuxième temps, dans le cadre de la procédure de remise, qui fait l'objet d'une procédure distincte de la restitution (ATF 8C_602/2007 du 13 décembre 2007; 264/05 du 25 janvier 2006, consid. 2.1; ATF 132 V 42 consid. 1.2).</w:t>
      </w:r>
    </w:p>
    <w:p>
      <w:r>
        <w:t>A/1585/2013 - 16/16 -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