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ATAS/936/2010 vom 15. September 2010</w:t>
      </w:r>
    </w:p>
    <w:p>
      <w:r>
        <w:t>GE Cour de justice, 2010-09-15, FR</w:t>
      </w:r>
    </w:p>
    <w:p>
      <w:r>
        <w:rPr>
          <w:b/>
        </w:rPr>
        <w:t xml:space="preserve">Quelle: </w:t>
      </w:r>
      <w:r>
        <w:t>https://mcp.opencaselaw.ch/entscheid/ge_gerichte_ATAS_936_2010</w:t>
      </w:r>
    </w:p>
    <w:p>
      <w:r>
        <w:t>FR: GE_GERICHTE ATAS/936/2010 du 15 septembre 2010</w:t>
      </w:r>
    </w:p>
    <w:p>
      <w:r>
        <w:t>IT: GE_GERICHTE ATAS/936/2010 del 15 settembre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a)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Aussi le droit à une rente doit-il être examiné au regard de l'ancien droit pour la période jusqu'au jour de sa modification et en fonction de la nouvelle réglementation légale après cette date (ATF 130 V 433 consid. 1 et les références). En ce qui concerne en revanche la procédure, et à défaut de règles transitoires contraires, le nouveau droit s'applique sans réserve dès le jour de son entrée en vigueur (ATF 117 V 93 consid. 6 b).</w:t>
      </w:r>
    </w:p>
    <w:p>
      <w:r>
        <w:t>A/3802/2009 - 10/17 - b) En l'espèce, l'objet du litige porte sur le droit à une rente d'invalidité à compter du 1er juillet 2003. La LPGA est entrée en vigueur le 1er janvier 2003 et s’applique donc au cas d’espèce. Quant aux modifications de la LAI du 21 mars 2003 (4ème révision), entrées en vigueur le 1er janvier 2004 (RO 2003 3852),et les modifications de la LAI du 6 octobre 2006 (5ème révision de la LAI), entrées en vigueur le 1er janvier 2008, elles sont applicables pour l'appréciation du droit aux prestations à partir de leurs entrées en vigueur.</w:t>
      </w:r>
    </w:p>
    <w:p>
      <w:r>
        <w:rPr>
          <w:b/>
        </w:rPr>
        <w:t>E. 3</w:t>
      </w:r>
    </w:p>
    <w:p>
      <w:r>
        <w:t>Interjeté dans les délai et forme prescrits par la loi, le recours est recevable (art. 56 ss LPGA).</w:t>
      </w:r>
    </w:p>
    <w:p>
      <w:r>
        <w:rPr>
          <w:b/>
        </w:rPr>
        <w:t>E. 4</w:t>
      </w:r>
    </w:p>
    <w:p>
      <w:r>
        <w:t>Est litigieuse en l'occurrence le degré d'invalidité de la recourante à compter du 1er juillet 2003.</w:t>
      </w:r>
    </w:p>
    <w:p>
      <w:r>
        <w:rPr>
          <w:b/>
        </w:rPr>
        <w:t>E. 5</w:t>
      </w:r>
    </w:p>
    <w:p>
      <w:r>
        <w:t>Une décision par laquelle l'assurance-invalidité accorde une rente d'invalidité avec effet rétroactif et, en même temps, prévoit la réduction ou l'augmentation de cette rente, correspond à une décision de révision au sens de l'art. 17 LPGA (ATF 125 V 417 ss consid. 2 et les références; VSI 2001 p. 157 consid. 2). Conformément à cette disposition, lorsque l'invalidité d'un bénéficiaire de rente subit une modification de manière à influencer le droit à la rente, celle-ci est révisée pour l'avenir, à savoir augmentée ou réduite en conséquence (ATFA non publié du 30 août 2005, I 362/04, consid. 2.2). Selon la jurisprudence, la rente peut être révisée non seulement en cas de modification sensible de l'état de santé, mais aussi lorsque celui-ci est resté en soi le même et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la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En cas d'allocation d'une rente dégressive ou temporaire, la date de la modification du droit (diminution ou suppression de la rente) doit être fixée conformément à l'art. 88a al. 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w:t>
      </w:r>
    </w:p>
    <w:p>
      <w:r>
        <w:t>A/3802/2009 - 11/17 - changement déterminant a duré trois mois déjà, sans interruption notable et sans qu'une complication prochaine soit à craindre. L'année de référence pour le calcul de la perte gain est celle dans laquelle la rente a été supprimée (ATF 121 V 366 consid. 1b).</w:t>
      </w:r>
    </w:p>
    <w:p>
      <w:r>
        <w:rPr>
          <w:b/>
        </w:rPr>
        <w:t>E. 6</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7</w:t>
      </w:r>
    </w:p>
    <w:p>
      <w:r>
        <w:t>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 l’assuré a droit à une rente entière s’il est invalide à 70% au moins, à trois quarts de rente s’il est invalide à 60% au moins, à une demi-rente s’il est invalide à 50% au moins ou à un quart de rente s’il est invalide à 40% au moins.</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w:t>
      </w:r>
    </w:p>
    <w:p>
      <w:r>
        <w:t>A/3802/2009 - 12/17 -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w:t>
      </w:r>
    </w:p>
    <w:p>
      <w:r>
        <w:t>A/3802/2009 - 13/17 -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20 consid. 2b; SVR 2006 IV no 10 p. 39 [arrêt Z. du 26 octobre 2004, I 457/04] consid. 4.1, 2001 IV no 10 p. 27 [arrêt S. du 8 février 2000, I 362/99]; Meyer-Blaser, Rechtsprechung des Bundesgerichts zum IVG, p. 228).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133 III 675 consid. 5.2 non plublié, 129 III 18 consid. 2.6, 127 III 519 consid. 2a, 122 II 464 consid. 4a, 122 III 219 consid. 3c et les arrêts cités). Une telle manière de procéder ne viole pas le droit d’être entendu selon l’art. 29 al. 2 Cst. (SVR 2001 IV n. 10 p. 28 consid. 4b), la jurisprudence rendue sous l’empire de l’art. 4 aCst. étant toujours valable (ATF 124 V 94 consid. 4b, 122 V 162 consid. 1d).</w:t>
      </w:r>
    </w:p>
    <w:p>
      <w:r>
        <w:rPr>
          <w:b/>
        </w:rPr>
        <w:t>E. 9</w:t>
      </w:r>
    </w:p>
    <w:p>
      <w:r>
        <w:t>En l'espèce, la recourante a fait l'objet en dernier lieu d'une expertise pluridisciplinaire en août et septembre 2006 au CEMed. Cette expertise remplit en principe tous les réquisits jurisprudentiels pour lui reconnaître une pleine valeur probante.</w:t>
      </w:r>
    </w:p>
    <w:p>
      <w:r>
        <w:t>A/3802/2009 - 14/17 - Du fait que les experts ont admis en 2003 déjà une capacité de travail de la recourante de 50% dans une activité légère, l'intimé a conclu qu'une amélioration de son état de santé devait être retenue à partir d'avril 2003. Toutefois, il ne ressort pas des expertises effectuées en quoi consiste cette amélioration. A cet égard, il est à relever que le taux d'activité de la recourante comme animatrice du parascolaire reste peu élevé, à savoir de 20% compte tenu de 2h de travail 4 fois par semaine. Par ailleurs, les examens neuropsychologiques de Mme K___________ mettent plutôt en évidence une aggravation du tableau neuropsychologique, comme cela ressort de son rapport du 30 juillet 2005. Cependant, la question de l'amélioration de l'état de santé en 2003 peut rester ouverte, au vu de ce qui suit. Selon les experts, "l'augmentation du taux de travail dans l'activité actuelle est peut-être compatible avec les troubles neuropsychologiques", à condition que l'augmentation soit absolument graduelle". Toutefois, ils ajoutent que le taux dans l'activité actuelle semble être limité en raison du caractère exigeant et immédiat des tâches effectuées dans le cadre du parascolaire. Dans une autre activité professionnelle, les experts estiment qu'un taux de 50% paraît envisageable, pour autant qu'elle soit peu contraignante sur le plan mnésique, flexible sur plan du rendement et sans double tâche. Par ailleurs, il est indiqué dans cette expertise (p. 26), que des mesures de réadaptation professionnelle pourraient être indiquées dans le but de faire un bilan de ce qui est possible et d'augmenter la capacité de gain, en permettant à la recourante de trouver une activité complémentaire à son travail actuel, adaptée aux troubles encore présents. Il convient par ailleurs de relever que l'examen neuropsychologique a mis en évidence une fatigabilité importante après deux heures d'examen, ainsi qu'un ralentissement psychomoteur qui se répercute sur l'ensemble des fonctions exécutives. Il y a des troubles importants de l'attention divisée, de la mémoire de travail et de la flexibilité mentale. Compte tenu des constatations des experts, le Tribunal de céans estime qu'une capacité de travail de 50 % dans l'activité actuelle d'animatrice parascolaire ne peut être retenue, au vu des exigences dans un tel travail. Cela nécessiterait par ailleurs que la recourante travaille le mercredi matin. Or, comme elle l'a expliqué lors de son audition, cela est exclu, dans la mesure où les activités du mercredi ont parfois lieu en plein air, ce qui n'est pas compatible avec sa sensibilité à la lumière. Donc, en tout état de cause, elle pourrait travailler au plus à 40% dans le parascolaire (4h x 4 jours).</w:t>
      </w:r>
    </w:p>
    <w:p>
      <w:r>
        <w:t>A/3802/2009 - 15/17 - Toutefois, il n'est pas exclu que sa capacité de travail résiduelle soit de 50 % dans une autre activité plus adaptée. En l'état, il paraît cependant difficile d'évaluer concrètement la capacité de travail de la recourante, d'autant plus qu'une activité adaptée n'a pas encore pu être définie et que l'augmentation du temps de travail devrait en tout état de cause être très progressive, selon les experts. Cela étant, de l'avis du Tribunal de céans, il convient de compléter l'instruction de la cause par une observation professionnelle. Celle-ci permettra également de déterminer quelles activités professionnelles sont adaptées aux handicaps de la recourante.</w:t>
      </w:r>
    </w:p>
    <w:p>
      <w:r>
        <w:rPr>
          <w:b/>
        </w:rPr>
        <w:t>E. 10</w:t>
      </w:r>
    </w:p>
    <w:p>
      <w:r>
        <w:t>Au vu de ce qui précède, le recours est partiellement admis et la décision attaquée annulée, en ce qu'elle a refusé à la recourante une rente supérieure à une demi-rente d'invalidité à partir du 1er juillet 2003. La cause sera par ailleurs renvoyée à l'intimé pour la mise en œuvre d'une observation professionnelle et, ceci fait, nouvelle décision.</w:t>
      </w:r>
    </w:p>
    <w:p>
      <w:r>
        <w:rPr>
          <w:b/>
        </w:rPr>
        <w:t>E. 11</w:t>
      </w:r>
    </w:p>
    <w:p>
      <w:r>
        <w:t>Dans la mesure où la recourante obtient partiellement gain de cause, une indemnité de 1'500 fr. lui est octroyée à titre de dépens.</w:t>
      </w:r>
    </w:p>
    <w:p>
      <w:r>
        <w:rPr>
          <w:b/>
        </w:rPr>
        <w:t>E. 12</w:t>
      </w:r>
    </w:p>
    <w:p>
      <w:r>
        <w:t>Au vu de l'issue du recours, l'émolument de justice de 200 fr. est mis à la charge de l'intimé.</w:t>
      </w:r>
    </w:p>
    <w:p>
      <w:r>
        <w:t>A/3802/2009 - 16/17 -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