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ATAS/935/2024 vom 28. November 2024</w:t>
      </w:r>
    </w:p>
    <w:p>
      <w:r>
        <w:t>GE Cour de justice, 2024-11-28, FR</w:t>
      </w:r>
    </w:p>
    <w:p>
      <w:r>
        <w:rPr>
          <w:b/>
        </w:rPr>
        <w:t xml:space="preserve">Quelle: </w:t>
      </w:r>
      <w:r>
        <w:t>https://mcp.opencaselaw.ch/entscheid/ge_gerichte_ATAS_935_2024</w:t>
      </w:r>
    </w:p>
    <w:p>
      <w:r>
        <w:t>FR: GE_GERICHTE ATAS/935/2024 du 28 novembre 2024</w:t>
      </w:r>
    </w:p>
    <w:p>
      <w:r>
        <w:t>IT: GE_GERICHTE ATAS/935/2024 del 28 novembre 2024</w:t>
      </w:r>
    </w:p>
    <w:p>
      <w:pPr>
        <w:pStyle w:val="Heading2"/>
      </w:pPr>
      <w:r>
        <w:t>Erwägungen</w:t>
      </w:r>
    </w:p>
    <w:p>
      <w:r>
        <w:rPr>
          <w:b/>
        </w:rPr>
        <w:t>E. 1.1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recevable (art. 56 ss LPGA).</w:t>
      </w:r>
    </w:p>
    <w:p>
      <w:r>
        <w:t>A/1744/2024 - 7/19 -</w:t>
      </w:r>
    </w:p>
    <w:p>
      <w:r>
        <w:rPr>
          <w:b/>
        </w:rPr>
        <w:t>E. 2</w:t>
      </w:r>
    </w:p>
    <w:p>
      <w:r>
        <w:t>Le litige porte sur la question de savoir si l’intimée doit prendre en charge, comme étant les suites d’un accident ou une lésion corporelle assimilée à un accident, l’atteinte ayant suivi l’événement survenu lors de la partie de football du 28 août 2023.</w:t>
      </w:r>
    </w:p>
    <w:p>
      <w:r>
        <w:rPr>
          <w:b/>
        </w:rPr>
        <w:t>E. 3.1</w:t>
      </w:r>
    </w:p>
    <w:p>
      <w:r>
        <w:t>Aux termes de l'art. 6 LAA, si la présente loi n’en dispose pas autrement, les prestations d’assurance sont allouées en cas d’accident professionnel, d’accident non professionnel et de maladie professionnelle.</w:t>
      </w:r>
    </w:p>
    <w:p>
      <w:r>
        <w:rPr>
          <w:b/>
        </w:rPr>
        <w:t>E. 3.2</w:t>
      </w:r>
    </w:p>
    <w:p>
      <w:r>
        <w:t>Est réputé accident toute atteinte dommageable, soudaine et involontaire, portée au corps humain par une cause extérieure extraordinaire qui compromet la santé physique, mentale ou psychique ou qui entraîne la mort (art. 4 LPGA).</w:t>
      </w:r>
    </w:p>
    <w:p>
      <w:r>
        <w:rPr>
          <w:b/>
        </w:rPr>
        <w:t>E. 3.2.1</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3.2.2</w:t>
      </w:r>
    </w:p>
    <w:p>
      <w:r>
        <w:t>La condition que l’atteinte à la santé doit trouver son origine dans un facteur extérieur signifie qu’elle doit résulter d’une cause exogène au corps humain. Cet élément, qui s’oppose à la cause interne qui caractérise la maladie (art. 3 al. 1 LPGA),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 arrêt du Tribunal fédéral 8C_418/2018 du 12 juillet 2019 consid. 6.2 ; Stéphanie PERRENOUD, in Commentaire romand, LPGA, 2018, n. 19 s. ad art. 4 LPGA). En revanche,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ne saurait être considéré comme un accident, faute de cause extérieure (ATF 142 V 219 ; arrêt du Tribunal fédéral 8C_418/2018 précité consid. 6.2 ; Stéphanie PERRENOUD, op. cit., n. 22 ad art. 4 LPGA). Un état maladif (cause interne) peut être à l'origine d'un événement accidentel (assuré) ou en favoriser la survenance. Cela suppose toutefois que l'accident comme tel apparaisse comme la cause naturelle et adéquate de l'atteinte à la santé ou du décès (ATF 142 V 435 consid. 2 ; 102 V 131). En effet, l’existence d’un accident doit être admise « lorsque ce dernier a été provoqué par une maladie qui n’est elle-même pas la cause physiologique de l’atteinte » ; à cet égard, est déterminante «  la cause</w:t>
      </w:r>
    </w:p>
    <w:p>
      <w:r>
        <w:t>A/1744/2024 - 8/19 - immédiate  » de l’atteinte à la santé, et non pas les circonstances dans lesquelles celle-ci est survenue. Ainsi, la fracture d’une jambe à l’occasion d’une chute causée par la diminution intermittente de la pression sanguine constitue, par exemple, un accident ; l’atteinte à la santé trouve en effet sa cause directe et adéquate dans la chute et non pas dans l’état maladif préexistant (in casu, des problèmes de pression). En revanche, l’assuré qui, à la suite d’un malaise, chute au cours d’une randonnée en montagne et atterrit 60 m en contrebas, dans un champ d’éboulis, n’est pas victime d’un accident si la cause la plus probable des lésions ou du décès provient d’un état maladif  ; dans le cas d’espèce, les blessures occasionnées par la chute ne présentaient pas une gravité suffisante pour entraîner la mort, de sorte que le décès de l’assuré devait être imputé à la défaillance cardio- vasculaire (ATF 142 V 435 ; 102 V 131 ; 99 V 136 ; Stéphanie PERRENOUD, op. cit., n. 23 et 50 ad art. 4 LPGA).</w:t>
      </w:r>
    </w:p>
    <w:p>
      <w:r>
        <w:rPr>
          <w:b/>
        </w:rPr>
        <w:t>E. 3.2.3</w:t>
      </w:r>
    </w:p>
    <w:p>
      <w:r>
        <w:t>Par ailleurs, 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précité consid. 3.2 et les références). On peut ainsi retenir à titre d'exemples de facteurs extérieurs extraordinaires le fait de trébucher, de glisser ou de se heurter à</w:t>
      </w:r>
    </w:p>
    <w:p>
      <w:r>
        <w:t>A/1744/2024 - 9/19 -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(arrêts du Tribunal fédéral 8C_159/2023 précité consid. 3.3 ; 8C_410/2017 du 22 mars 2018 consid. 3.2). À titre d'exemples, le critère du facteur extérieur extraordinaire a été admis dans le cas d'une charge contre la balustrade subie par un hockeyeur (ATF 130 V 117 consid. 3), d'une réception au sol manquée par un gymnaste lors d'un « saut de carpe » (arrêt du Tribunal fédéral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rPr>
          <w:b/>
        </w:rPr>
        <w:t>E. 3.2.4</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3.3</w:t>
      </w:r>
    </w:p>
    <w:p>
      <w:r>
        <w:t>En vertu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w:t>
      </w:r>
    </w:p>
    <w:p>
      <w:r>
        <w:t>A/1744/2024 - 10/19 - muscles (let. d) ; les élongations de muscles (let. e) ; les déchirures de tendons (let. f) ; les lésions de ligaments (let. g) ; les lésions du tympan (let. h).</w:t>
      </w:r>
    </w:p>
    <w:p>
      <w:r>
        <w:rPr>
          <w:b/>
        </w:rPr>
        <w:t>E. 3.3.1</w:t>
      </w:r>
    </w:p>
    <w:p>
      <w:r>
        <w:t>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À l’époque où l’art. 9 al. 2 aOLAA était encore en vigueur,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 du Tribunal fédéral U 469/06 du 26 juillet 2007 consid. 5.1 ; arrêt du Tribunal fédéral U 71/07 du 15 juin 2007 consid. 6.2 ; arrêt du Tribunal fédéral U 611/06 du 12 mars 2007 consid. 5.1).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 aussi arrêt du Tribunal fédéral 8C_13/2021 du 6 septembre 2021 consid. 2.2).</w:t>
      </w:r>
    </w:p>
    <w:p>
      <w:r>
        <w:rPr>
          <w:b/>
        </w:rPr>
        <w:t>E. 3.3.2</w:t>
      </w:r>
    </w:p>
    <w:p>
      <w:r>
        <w:t>Dans un arrêt de principe du 24 septembre 2019, le Tribunal fédéral a précisé que selon l'interprétation de l'art. 6 al. 2 LAA, l'application de cette</w:t>
      </w:r>
    </w:p>
    <w:p>
      <w:r>
        <w:t>A/1744/2024 - 11/19 -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 ATF 146 V 51). En particulier, à teneur du même arrêt, si aucun événement initial ne peut être établi, ou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(ATF 146 V 51 consid. 8.2.2.1 et 8.6 ; aussi arrêt du Tribunal fédéral 8C_13/2021 précité consid. 2.2).</w:t>
      </w:r>
    </w:p>
    <w:p>
      <w:r>
        <w:rPr>
          <w:b/>
        </w:rPr>
        <w:t>E. 3.4</w:t>
      </w:r>
    </w:p>
    <w:p>
      <w:r>
        <w:t>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(ATF 146 V 51 consid. 5.1, 8.5 et 9.1).</w:t>
      </w:r>
    </w:p>
    <w:p>
      <w:r>
        <w:t>A/1744/2024 - 12/19 - La systématique de la loi (art. 6 al. 1 et 2 LAA) suggère que l'al. 1 (accident) et l'al. 2 (lésion assimilée selon la liste) sont indépendants l'un de l'autre et que l'état de fait doit en principe être examiné séparément pour chacun de ces alinéas (ATF 146 V 51 consid. 8.5).</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w:t>
      </w:r>
    </w:p>
    <w:p>
      <w:r>
        <w:t>A/1744/2024 - 13/19 -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t>A/1744/2024 - 14/19 -</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5.2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5.3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A/1744/2024 - 15/19 -</w:t>
      </w:r>
    </w:p>
    <w:p>
      <w:r>
        <w:rPr>
          <w:b/>
        </w:rPr>
        <w:t>E. 6</w:t>
      </w:r>
    </w:p>
    <w:p>
      <w:r>
        <w:t>En l’espèce, le recourant considère que ses troubles au genou gauche sont consécutifs à ce qu’il qualifie d’accident du 28 août 2023 et insiste sur l’existence d’un facteur extérieur ou extraordinaire, à savoir l’utilisation de talonnettes souples à l’intérieur de ses chaussures de football sur un terrain instable. GROUPE MUTUEL, de son côté, considère qu’il n’y a pas eu de facteur extérieur ou extraordinaire lors de l’événement du 28 août 2023 et estime, de surcroît, que les conditions permettant de reconnaître une lésion assimilée au sens de l’art. 6 al. 2 LAA ne sont pas réunies.</w:t>
      </w:r>
    </w:p>
    <w:p>
      <w:r>
        <w:rPr>
          <w:b/>
        </w:rPr>
        <w:t>E. 6.1</w:t>
      </w:r>
    </w:p>
    <w:p>
      <w:r>
        <w:t>S’agissant de la notion d’accident, il y a lieu de se référer à la jurisprudence constante du Tribunal fédéral en matière de sport, telle qu’elle est citée supra sous ch. 3. Comme le relève l’assureur, la description des circonstances de l’événement, telle qu’elle a été faite par l’assuré dans le cadre de la déclaration de sinistre, puis au cours des précisions demandées ultérieurement par l’assureur, ne donne aucun indice sur la présence d’un facteur externe ou extraordinaire ; l’assuré dont la pratique du football était habituelle, a effectué une feinte et un crochet dans le cadre d’une opposition à un adversaire. Il s’agit de gestes habituels dans le cadre de la pratique du football ; il n’y a pas eu de choc avec un autre joueur, ni de chute et les faits, tels qu’ils se sont déroulés, ne permettent pas de retenir l’existence d’un facteur extérieur ou extraordinaire. Au stade du recours, l’assuré a allégué des faits supplémentaires, à savoir l’utilisation de talonnettes souples glissées dans ses chaussures qui auraient pu le « déséquilibrer » et le fait que le terrain de football était « instable ». À cet égard, il convient de rappeler que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Quand bien même l’assuré n’a pas allégué, dans le cadre de ses premières déclarations à l’assurance, que l’événement avait pu être causé par le port des talonnettes souples sur un terrain instable, on ne saurait retenir que cet élément serait constitutif d’un facteur extraordinaire ou externe permettant de conclure que les conditions d’un accident sont remplies. Le médecin traitant H______ a émis l’hypothèse, en p. 2 de son attestation du 24 septembre 2024, que les talonnettes « ont probablement participé au fait qu’il était moins équilibré et qu’il a moins bien contrôlé son articulation », mais cela reste une hypothèse qui n’est,</w:t>
      </w:r>
    </w:p>
    <w:p>
      <w:r>
        <w:t>A/1744/2024 - 16/19 - en tous les cas, ni constitutive d’un facteur extérieur, ni d’un facteur extraordinaire. Partant, il convient d’ores et déjà de nier que les conditions d’un accident, au sens de l’art. 4 LPGA, soient remplies dans les circonstances de l’événement du 28 août 2023.</w:t>
      </w:r>
    </w:p>
    <w:p>
      <w:r>
        <w:rPr>
          <w:b/>
        </w:rPr>
        <w:t>E. 6.2</w:t>
      </w:r>
    </w:p>
    <w:p>
      <w:r>
        <w:t>Il convient à présent d’examiner s’il existe des lésions liées à l’événement du 28 août 2023, qui entreraient dans la liste des lésions assimilées de l’art. 6 al. 2 LAA, sans qu’il soit établi par l’assureur, selon une probabilité supérieure à 50%, qu’elles seraient dues de manière prépondérante à l’usure ou à une maladie. Dans son certificat médical du 10 mai 2024, la docteure I______, spécialiste FMH en médecine interne générale, décrit l’assuré comme étant un patient très sportif, en excellent état physique et pratiquant des entraînements de foot à raison de deux fois par semaine ; il a fait l’objet d’une consultation, en date du 14 octobre 2022, sans aucun indice en faveur de problèmes de genou. Décrivant l’événement du 28 août 2023, elle expose que son patient a « confirmé un choc et blocage d’une jambe lors d’un entraînement de son club de foot (…) et ceci a entraîné une torsion soudaine et involontaire du genou gauche ». Les circonstances décrites par le médecin généraliste ne correspondent pas à celles qui ont été retenues au niveau de la déclaration de sinistre, dès lors qu’il n’y a eu aucun choc, ni aucun blocage du genou gauche. Partant, on ne peut suivre les conclusions de la Dre I______ dès lors qu’elle se fonde sur un état de fait inexact qui impliquerait un choc ou un blocage pouvant être à l’origine d’une lésion traumatique. Ses conclusions selon lesquelles l’anamnèse et l’évolution clinique sont typiques d’une lésion accidentelle et incompatibles avec une maladie arthrosique, de même que les lésions dégénératives mises en évidence lors de l’IRM seraient des découvertes fortuites, s’opposent aux conclusions du médecin-conseil G______. Il sied de rappeler que le médecin-conseil est un spécialiste en chirurgie orthopédique et traumatologie ; dès lors, son appréciation médicale doit prévaloir sur celle d’un médecin généraliste qui, de surcroît, a fondé son appréciation sur une description partiellement erronée des circonstances de l’événement. En ce qui concerne l’appréciation de la Dre H______, il convient de relever que cette dernière est également une spécialiste en chirurgie orthopédique et traumatologie, comme le médecin-conseil. Selon elle, l’événement « a probablement décroché un lambeau de cartilage du condyle fémoral interne qui a provoqué les douleurs et l’épanchement articulaire ». En ce qui concerne les séquelles d’Osgood Schlatter, le médecin traitant confirme leur existence, sans toutefois considérer qu’il s’agit de lésions dégénératives. La Dre H______ ne précise pas le degré de probabilité qu’elle attache à l’hypothèse selon laquelle l’événement aurait décroché un lambeau de cartilage,</w:t>
      </w:r>
    </w:p>
    <w:p>
      <w:r>
        <w:t>A/1744/2024 - 17/19 - ce qui aurait provoqué les douleurs et l’épanchement articulaire. Bien qu’elle ne considère pas que les séquelles de la maladie d’Osgood Schlatter soient de nature dégénérative, elle admet néanmoins qu’il existe des séquelles de cette maladie. Le rapport médical du 10 avril 2024 rédigé par le Dr G______ décrit les pièces du dossier ainsi que l’anamnèse de l’assuré, dont il retient, en se fondant sur l’imagerie médicale, qu’un état antérieur dégénératif maladif du genou gauche a existé, dès lors que le rapport d’IRM du 4 septembre 2023 fait état d’un remaniement interstitiel du ménisque, avec minime fissure de 3 mm, ainsi que de remaniements de l’insertion distale du tendon patellaire, dus aux séquelles de la maladie d’Osgood Schlatter. Ainsi, même si l’assuré a été asymptomatique et déclare n’avoir jamais ressenti de douleurs au genou gauche, il n’en reste pas moins que l’IRM a objectivement révélé des remaniements du ménisque ainsi que des séquelles de la maladie d’Osgood Schalter, ce qui démontre l’existence antérieure d’un état maladif, ayant notamment entraîné le remaniement interstitiel du ménisque interne, avec la fissure minime de 3mm. Le médecin-conseil décrit, en détail, la classification des lésions méniscales dégénératives, qui correspondent à un grade III ce qui, d’après la littérature scientifique qu’il cite, est une évolution des anomalies normale avec l’écoulement du temps. En ce qui concerne les lésions cartilagineuses, il rappelle la classification des chondropathies, citant à nouveau la littérature scientifique. Derechef, l’IRM a révélé objectivement l’existence de lésions cartilagineuses de grade II sur la zone portante du condyle médial et de grade III du secteur distal de la facette médiale de la patella, dont le médecin-conseil dit qu’elles correspondent à des pathologies dégénératives et maladives et ne remplissent pas les conditions de lésions corporelles au sens de l’art. 6 al. 2 LAA. En dépit des appréciations différentes du médecin-conseil G______ et du médecin traitant H______, on constate que les appréciations du médecin-conseil se fondent sur des descriptions détaillées des lésions cartilagineuses et des lésions méniscales, qu’il met en lien, d’une part, avec la littérature scientifique qu’il cite et d’autre part, avec les éléments objectifs constatés dans le rapport d’imagerie IRM du 4 septembre 2023. À cet égard, les conclusions du Dr G______ sont plus fouillées et plus convaincantes que celles de la Dre H______. L’hypothèse de cette dernière, selon laquelle un fragment de cartilage se serait détaché au cours de l’événement, ne repose sur aucun élément objectif corrélé avec l’imagerie IRM, rien ne permettant d’établir un lien entre l’événement du 28 août 2023 et l’existence d’un fragment de cartilage. Partant, la chambre de céans considère que l’existence d’une lésion assimilée au sens de l’art. 6 al. 2 LAA n’est pas établie au degré de la vraisemblance prépondérante. De surcroît, même si la fissure du ménisque devait être, par hypothèse, considérée comme une lésion assimilée, l’état maladif préexistant qui ressort du rapport de l’IRM du 4 septembre 2023 et le rapport médical du</w:t>
      </w:r>
    </w:p>
    <w:p>
      <w:r>
        <w:t>A/1744/2024 - 18/19 - médecin-conseil du 10 avril 2024 démontrent, avec une probabilité de plus de 50%, l’origine maladive, ou consécutive à l’usure, de la fissure.</w:t>
      </w:r>
    </w:p>
    <w:p>
      <w:r>
        <w:rPr>
          <w:b/>
        </w:rPr>
        <w:t>E. 7.1</w:t>
      </w:r>
    </w:p>
    <w:p>
      <w:r>
        <w:t>Mal fondé, le recours est rejeté.</w:t>
      </w:r>
    </w:p>
    <w:p>
      <w:r>
        <w:rPr>
          <w:b/>
        </w:rPr>
        <w:t>E. 7.2</w:t>
      </w:r>
    </w:p>
    <w:p>
      <w:r>
        <w:t>Pour le surplus, la procédure est gratuite.</w:t>
      </w:r>
    </w:p>
    <w:p>
      <w:r>
        <w:t>A/1744/2024 - 19/19 -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