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ATAS/935/2023 vom 30. November 2023</w:t>
      </w:r>
    </w:p>
    <w:p>
      <w:r>
        <w:t>GE Cour de justice, 2023-11-30, FR</w:t>
      </w:r>
    </w:p>
    <w:p>
      <w:r>
        <w:rPr>
          <w:b/>
        </w:rPr>
        <w:t xml:space="preserve">Quelle: </w:t>
      </w:r>
      <w:r>
        <w:t>https://mcp.opencaselaw.ch/entscheid/ge_gerichte_ATAS_935_2023</w:t>
      </w:r>
    </w:p>
    <w:p>
      <w:r>
        <w:t>FR: GE_GERICHTE ATAS/935/2023 du 30 novembre 2023</w:t>
      </w:r>
    </w:p>
    <w:p>
      <w:r>
        <w:t>IT: GE_GERICHTE ATAS/935/2023 del 30 novembre 2023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Il résulte de ce qui précède que le trop-perçu des prestations doit être établi sur la base de la méthode de régression et avec un indice de tolérance de 242 (120 + 122). Les chiffres suivants sont ainsi pris en considération : 2018</w:t>
      </w:r>
    </w:p>
    <w:p>
      <w:r>
        <w:t>2019 Coûts totaux (CT)</w:t>
      </w:r>
    </w:p>
    <w:p>
      <w:r>
        <w:t>CHF 289'048.-</w:t>
      </w:r>
    </w:p>
    <w:p>
      <w:r>
        <w:t>CHF 171'652.- Coûts totaux directs (CTD) CHF 212'262.-</w:t>
      </w:r>
    </w:p>
    <w:p>
      <w:r>
        <w:t>CHF 118'074.- Indice de régression des coûts totaux (IR)</w:t>
      </w:r>
    </w:p>
    <w:p>
      <w:r>
        <w:t>419 points</w:t>
      </w:r>
    </w:p>
    <w:p>
      <w:r>
        <w:t>355 points Indice de tolérance (IT) 242 points</w:t>
      </w:r>
    </w:p>
    <w:p>
      <w:r>
        <w:t>242 points</w:t>
      </w:r>
    </w:p>
    <w:p>
      <w:r>
        <w:t>Aussi, selon la formule mathématique applicable CT / IR x (IR-IT) x CTD / CT, les montants à restituer par le défendeur sont-ils de CHF 89'667.- [289'048 / 419 x (419 – 242) x 212'262 / 289'048] pour l'année statistique 2018 (cf. pièce 6 chargé dem. du 8 juillet 2020) et de CHF. 37'584.- [171'652 / 355 x (355 – 242) x 118'074 / 171'652] pour l'année statistique 2019 (cf. pièce 7 chargé dem. du 5 juillet 2021). La demande est en conséquence partiellement admise et le défendeur condamné à payer à SANTESUISSE la somme totale de CHF 127'251.-, à charge pour elle de la répartir en faveur des demanderesses.</w:t>
      </w:r>
    </w:p>
    <w:p>
      <w:r>
        <w:rPr>
          <w:b/>
        </w:rPr>
        <w:t>E. 26</w:t>
      </w:r>
    </w:p>
    <w:p>
      <w:r>
        <w:t>La procédure devant le Tribunal arbitral n’est pas gratuite. Conformément à l’art. 46 al. 1 LaLAMAL, les frais du tribunal et de son greffe sont à la charge des parties. Ils comprennent les débours divers (notamment indemnités de témoins, port, émolument d’écriture), ainsi qu’un émolument global n’excédant pas CHF 15'000.-. Le tribunal fixe le montant des frais et décide quelle partie doit les supporter (art. 46 al. 2 LaLAMAL). En l'occurrence, SANTÉSUISSE obtient gain de cause à raison du 55% de ses conclusions de CHF 229'633.- pour 2018 et 2019. Par conséquent, les frais seront mis à sa charge à raison de 45% et à la charge du défendeur à raison de 55%. Ceux-ci comprennent un émolument de justice de CHF 4'000.- et les frais du Tribunal de céans de CHF 13'051.25.</w:t>
      </w:r>
    </w:p>
    <w:p>
      <w:r>
        <w:t>A/2154/2020 - 37/37 -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