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ATAS/935/2016 vom 14. November 2016</w:t>
      </w:r>
    </w:p>
    <w:p>
      <w:r>
        <w:t>GE Cour de justice, 2016-11-14, FR</w:t>
      </w:r>
    </w:p>
    <w:p>
      <w:r>
        <w:rPr>
          <w:b/>
        </w:rPr>
        <w:t xml:space="preserve">Quelle: </w:t>
      </w:r>
      <w:r>
        <w:t>https://mcp.opencaselaw.ch/entscheid/ge_gerichte_ATAS_935_2016</w:t>
      </w:r>
    </w:p>
    <w:p>
      <w:r>
        <w:t>FR: GE_GERICHTE ATAS/935/2016 du 14 novembre 2016</w:t>
      </w:r>
    </w:p>
    <w:p>
      <w:r>
        <w:t>IT: GE_GERICHTE ATAS/935/2016 del 14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l'évaluation du taux d'invalidité de la recourante, par l'intimé, sur la base d'un statut mixte, et singulièrement de déterminer si, par rapport à ce statut, la proportion entre la part active et la part dévolue aux activités ménagères a correctement été fixée.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w:t>
      </w:r>
    </w:p>
    <w:p>
      <w:r>
        <w:t>A/3255/2015 - 15/26 -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La détermination du taux d'invalidité ne saurait donc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Tant lors de l'examen initial du droit à la rente qu'à l'occasion d'une révision de celle-ci (art. 17 LPGA), il faut examiner sous l'angle des art. 4 et 5 LAI quelle</w:t>
      </w:r>
    </w:p>
    <w:p>
      <w:r>
        <w:t>A/3255/2015 - 16/26 -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(ATF141 V 15 consid. 3.1; ATF 137 V 334 consid. 3.2; ATF 125 V 146 consid. 2c ainsi que les références).</w:t>
      </w:r>
    </w:p>
    <w:p>
      <w:r>
        <w:rPr>
          <w:b/>
        </w:rPr>
        <w:t>E. 10</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w:t>
      </w:r>
    </w:p>
    <w:p>
      <w:r>
        <w:t>A/3255/2015 - 17/26 -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11</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w:t>
      </w:r>
    </w:p>
    <w:p>
      <w:r>
        <w:t>A/3255/2015 - 18/26 -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w:t>
      </w:r>
    </w:p>
    <w:p>
      <w:r>
        <w:t>A/3255/2015 - 19/26 -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Les principes pertinents en l'espèce seront rappelés plus bas.</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A/3255/2015 - 20/26 -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14</w:t>
      </w:r>
    </w:p>
    <w:p>
      <w:r>
        <w:t>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15</w:t>
      </w:r>
    </w:p>
    <w:p>
      <w:r>
        <w:t>a. En l'espèce, la recourante reproche tout d'abord à l'intimé d'avoir fixé son incapacité de gain à hauteur de 50% sans l'avoir fait examiner par des médecins, respectivement sans avoir ordonné d'expertise. Ce grief tombe à faux. En effet dans</w:t>
      </w:r>
    </w:p>
    <w:p>
      <w:r>
        <w:t>A/3255/2015 - 21/26 - ses avis successifs, autrement dit dans ses rapports au sens de l'art. 59 al. 2bis LAI (en corrélation avec l'art. 49 al. 1 RAI) le SMR a chaque fois repris à son compte après les avoir examinés les conclusions des médecins traitants en particulier ceux du Dr D______, rhumatologue traitant de l'intéressée. C'est le lieu de rappeler qu'un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Dans son avis du 6 novembre 2014, le service médical de l'intimé a en effet retenu le diagnostic de polyarthrite rhumatoïde posé par le rhumatologue de l'assurée et retenu l'évaluation par ce dernier de la capacité de travail de 50% dans l'activité habituelle - 70% dans une activité adaptée. Il a retenu la présence d'anticorps spécifiques, d'un syndrome inflammatoire et de douleurs et tuméfaction au poignet aux avant-pieds et aux épaules, et de l'évolution incertaine évoquée par le médecin traitant, l'incapacité de travail pouvant être totale lors de poussées. En raison du statut mixte, il avait alors retenu la nécessité d'une enquête ménagère pour évaluer les empêchements dans les activités habituelles. A l'époque il préconisait de réévaluer la situation deux ans plus tard. Dans un second temps, dans le cadre de la procédure d'audition, au vu de la contestation du projet de refus de rente par l'assurée, le SMR avait réexaminé le dossier en date du 13 août 2015 après le dernier avis du Dr D______. La situation était en pratique la même qu’avant : le rhumatologue traitant confirmait la capacité de travail de 50 % dans l'activité habituelle, mais il expliquait que contrairement à sa précédente évaluation, compte tenu de la persistance de signes inflammatoires, la capacité dans une activité adaptée était seulement de 50 %. Le SMR avait conclu qu'il fallait considérer que la capacité de travail est de 50 % dans toute activité. Cette évaluation prenait très largement en compte l'opinion du médecin traitant, dès lors que ce dernier avait à l'époque indiqué que selon lui, à fin février 2015 quelle que soit l’activité il y a en tout cas une incapacité de travail de 40 à 50%. Et en définitive le SMR avait retenu le pourcentage le plus élevé de la fourchette évoquée par le médecin traitant. On ne</w:t>
      </w:r>
    </w:p>
    <w:p>
      <w:r>
        <w:t>A/3255/2015 - 22/26 - voit pas dès lors en quoi une expertise rhumatologique eût été nécessaire, dans la mesure où le service médical de l'intimé n'avait pas exprimé un avis différent du rhumatologue traitant, auquel renvoyait d'ailleurs l'autre médecin traitant généraliste de l'assurée, la Dresse B______. b. Certes la recourante relève dans son recours que la décision entreprise se fonde sur les avis médicaux recueillis en particulier jusqu'en février 2015, et elle allègue qu'entre-temps sa maladie aurait évolué et l'aurait contrainte de s'arrêter de travailler à fin juin 2015. Il y a lieu à cet égard de rappeler que saisi d'un recours, le juge des assurances sociales doit se prononcer dans la règle en fonction de l'état de fait existant au moment où la décision entreprise a été rendue. À ce sujet, la recourante ne conteste pas que la décision objet du recours prenait en compte l'état médical tel qu'il ressort du dossier de l'intimé au moment où elle a été rendue. Interrogée sur les raisons pour lesquelles l'éventuelle aggravation de son état de santé n'avait pas été signalée à l'intimé, à l'époque, la recourante a indiqué qu'elle partait de l'idée que son rhumatologue ferait le nécessaire, ce qui n'avait pas été le cas, et elle ne l'avait réalisé qu'à réception de la décision entreprise. Quoi qu'il en soit, l'intimé a néanmoins soumis à son service médical les documents médicaux nouveaux produits dans le cadre de la présente procédure. Le SMR s'est une nouvelle fois prononcé, dans un avis du 17 novembre 2015. Ainsi que cela ressort du chiffre 19 des faits retenus ci-dessus, le SMR a attentivement analysé les divers documents médicaux qui lui étaient soumis. Son avis est motivé, par rapport à chacun des avis exprimés par les nouveaux médecins consultés par la recourante, pendant la procédure de recours, ou dans la perspective de celle-ci. Les conclusions du SMR sont convaincantes. On rappellera également, par rapport au contexte dans lequel intervenaient ces nouveaux médecins, que d'une part la recourante avait été rendue attentive par l'assureur perte de gain, à l'occasion du décompte intermédiaire d'indemnités journalières du 23 juin 2015, que les prestations maximales, autrement dit le versement des indemnités journalières pour perte de gain maladie, seraient atteintes au 16 septembre 2015, mais aussi qu'après le projet de refus de rente de l'OAI, certes contesté par la recourante, une décision allait être rendue, qui pourrait ne pas nécessairement aller dans le sens souhaité par la recourante. On rappellera aussi que selon la jurisprudence,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Ainsi, au vu de ce qui précède, les conclusions du SMR, sur lesquelles l'intimée a fondé son opinion, ne sauraient être remises en cause, en l'espèce, d'autant que les derniers rapports médicaux, produits en procédure, n'apportent pas d'éléments inconnus du dossier au moment où la décision querellée a été rendue, qui justifieraient en particulier une instruction complémentaire sous forme d'expertise, ainsi que le souhaite la recourante. La chambre de céans relèvera d'ailleurs que les</w:t>
      </w:r>
    </w:p>
    <w:p>
      <w:r>
        <w:t>A/3255/2015 - 23/26 - documents médicaux produits en cours de procédure ne peuvent, en tout état, se voir reconnaître une pleine valeur probante d'une aggravation de l'état de santé de la recourante, dès juin 2015. Ainsi, ce grief n'est pas fondé.</w:t>
      </w:r>
    </w:p>
    <w:p>
      <w:r>
        <w:rPr>
          <w:b/>
        </w:rPr>
        <w:t>E. 16</w:t>
      </w:r>
    </w:p>
    <w:p>
      <w:r>
        <w:t>Dans un second grief, la recourante reproche à l'intimé d'avoir retenu qu'elle exerçait une activité à 50 %, et qu'il fallait ainsi se fonder sur le statut mixte de l'assurée de 50% active et 50% pour les autres tâches, et d'avoir dès lors choisi la méthode mixte pour l'évaluation du taux d'invalidité. Il y a dès lors lieu de vérifier si c'est à juste titre que l'intimé a retenu que l'on devait considérer que l'assurée doit être considérée comme étant active à 50 % et consacrerait les autres 50 % aux activités ménagères. Dans une note sur le statut de l'assurée du14 novembre 2014, l'OAI a retenu que selon l'employeur l'assurée travaillait à un taux variable, pour un salaire de CHF 19.- /h. En 2013 son revenu avait été de CHF 10'320.- ce qui va dans le sens qu’elle travaillait à un taux inférieur à 50%. Mais avant son emploi actuel elle était au chômage, recherchant un poste à 50%. En conséquence, il proposait de retenir un statut mixte à hauteur de 50 % actif, et 50 % dans la sphère ménagère. La recourante objecte que, selon le contrat de travail conclu le 1er septembre 2008, elle était engagée sur appel, pour deux jours par semaine, soit le lundi et le vendredi pour une durée de trois heures par jour, et qu'ainsi elle effectuait six heures de travail par semaine. Elle invoque, en plus, un courrier de l'employeur, du 4 janvier 2011, lui indiquant que dès le 1er janvier 2011, l'employeur n'aurait plus la possibilité de l'employer dans les conditions actuelles, par suite de diminution de la clientèle. Elle en tire comme conclusion que dès ce moment-là l'employeur aurait été contraint de réduire le nombre d'heures effectuées par la recourante. Ainsi estime-t-elle que compte tenue d'un taux horaire mensuel moyen de vingt heures, son taux d'activité ne saurait être de 50 % comme retenu à tort par l'OAI, mais de 15 % au maximum. Cette argumentation, purement théorique, ne résiste toutefois pas à l'examen. Il convient en effet de rappeler que le contrat de travail conclu en 2008 précise expressément que l'engagement est de durée indéterminée, qu'il est lié au bon fonctionnement de l'entreprise, que le travail sera effectué sur appel avec des horaires irréguliers, pour un salaire horaire convenu. Le contrat n'oblige ni l'employeur à offrir un temps de travail déterminé, ni le travailleur à accepter le travail proposé. Contrairement à ce que soutient la recourante, elle n'a donc pas été engagée pour deux jours par semaine, le lundi et le vendredi pour une durée de trois heures par jour. En effet, ce n'est pas ce que dit le contrat : il y est seulement mentionné que « l'horaire de travail prévisible, mais non garanti, est de : les lundi et vendredi de 3 heures environ par jour remplacé par un autre jour si accord entre les parties. »</w:t>
      </w:r>
    </w:p>
    <w:p>
      <w:r>
        <w:t>A/3255/2015 - 24/26 - Le dossier ne précise pas ce qu'il en a été de l'activité effective de la recourante, dès son engagement, et pour les années 2009 à 2011, ce qui n'est d'ailleurs pas déterminant en l'occurrence, l'employeur ayant néanmoins fourni à l'époque, à l'intimé, en réponse à sa demande, le relevé des salaires perçus de 2012, année précédant l'atteinte à la santé, au moment de l'établissement de ce rapport, soit le 14 mai 2014. Il ressort en effet de ce document que, pour l'année 2012, le salaire annuel de la recourante a été de CHF 14'552.80, soit, si l'on tient compte de quatre semaines de vacances annuelles, une moyenne de près de 14.5 heures par semaine. Certes cette moyenne est quelque peu inférieure à 20 heures par semaine, mais elle dépasse largement l'évaluation de la recourante pour asseoir son argumentation. Elle démontre également le caractère théorique et minimaliste des dispositions contractuelles susmentionnées, et qui plus est de la prévision pessimiste de l'employeur, au début janvier 2011, puisque dans la réalité, en tout cas en 2012 déjà, - à supposer qu'il y ait eu une baisse du travail confié en 2011-, le travail effectué en 2012 par la recourante était largement supérieur à ce qu'elle prétend déduire du contrat et du courrier du début 2011 annonçant une baisse prévisible de travail, due à la diminution de la clientèle. Ce qui laisse d'ailleurs supposer, au degré de la vraisemblance prépondérante, que jusqu'en 2010 le volume de travail était très largement supérieur, approchant probablement les 50 %, ce qui expliquerait d'ailleurs fort bien la raison pour laquelle le contrat collectif d'assurance perte de gain maladie ait évalué le salaire annuel à CHF 20'000.-, qui a bien été pris pour base de l'indemnisation de la recourante jusqu'à mi-septembre 2015. La recourante a voulu mettre en évidence une supposée réduction systématique et en quelque sorte exponentielle de son taux d'activité, passant de 692.5 heures en 2012 à 418 heures en 2013, et… 95.5 heures en 2014 ! Elle voudrait ainsi en déduire que l'OAI, au lieu de retenir un statut mixte à 50 %/50 %, aurait dû chiffrer ce statut à hauteur de 15 % pour la part active, et 85 % (80% dans ses écritures) pour la part des travaux ménagers. Ce raisonnement frise la témérité : en effet, non seulement la recourante compare des situations qui ne sont guère comparables, dès lors que l'année 2013 est précisément celle au cours de laquelle est apparue l'atteinte à la santé, diagnostiquée, selon ses médecins traitants, en février 2013 soit bien avant qu'apparaisse la première période d'incapacité de travail attestée médicalement. Il est toutefois hautement vraisemblable que dès février 2013, l'activité de la recourante ait été sensiblement affectée par son atteinte à la santé, ce qui se traduit d'ailleurs dans les chiffres mensuels indiqués par l'employeur, avec des variations à la hausse, pendant certains mois, parfaitement compatibles avec le caractère fluctuant de la maladie décrit par ses médecins. Pire encore : la recourante prétend qu'elle n'aurait travaillé en 2014 que 95.5 heures : elle perd toutefois de vue que le document sur lequel elle se fonde, soit le rapport de l'employeur, date de mi- mai 2014, et qu'il ne prenait en compte les heures effectuées pendant les seuls quatre premiers mois de l'année 2014 ! Et pourtant, la recourante produisait à l'appui de ses écritures la copie de son compte salaire personnel établi par</w:t>
      </w:r>
    </w:p>
    <w:p>
      <w:r>
        <w:t>A/3255/2015 - 25/26 - l'employeur, pour les années (complètes) 2013 à 2015, qui montrait à l'évidence que son argumentation n'était pas sérieusement soutenable, en tout cas pour 2014 au niveau du nombre d'heures travaillées. Au vu de ce qui précède, la chambre de céans retient, au degré de la vraisemblance prépondérante, que le statut mixte retenu par l'intimé à hauteur de 50 % de part active et 50 % pour les travaux ménagers était pleinement justifié.</w:t>
      </w:r>
    </w:p>
    <w:p>
      <w:r>
        <w:rPr>
          <w:b/>
        </w:rPr>
        <w:t>E. 17</w:t>
      </w:r>
    </w:p>
    <w:p>
      <w:r>
        <w:t>En tant que de besoin, dans la mesure où la recourante déduit de son argumentation précédente que les chiffres retenus par l'intimée dans le cadre de l'enquête ménagère seraient erronés, et qu'ainsi le dossier devrait être retourné à l'intimé pour qu'il procède à une nouvelle enquête ménagère, la chambre de céans relèvera, en plus de ce qui vient d'être dit concernant les proportions du statut mixte retenu, que la recourante ne critique ni le statut en tant que tel, ni les constatations de l'enquêtrice, et par conséquent leur valeur probante, par rapport à la pondération des diverses activités examinées, pas plus que la description des empêchements reconnus, et de l'exigibilité prise en compte. On relèvera d'ailleurs au nombre des constatations de l'enquêtrice que l'assurée indique que sans handicap elle aurait poursuivi son activité d'aide en blanchisserie au même taux d'activité, soit un travail sur appel pour un maximum de 50 %. La chambre de céans, à teneur des principes de jurisprudence rappelés précédemment, ne décèle aucun élément susceptible de remettre en cause la pertinence des observations de l'enquêtrice et la pleine valeur probante de ce rapport. Il sera enfin relevé que, même à supposer que l'on veuille suivre l'argumentation de la recourante, en modifiant comme elle le soutient la répartition de la part active et de la part d'activités ménagères dans le statut mixte dont le principe n'est ni contesté ni contestable, que cela ne changerait rien à l'issue du litige, dans la mesure où le taux d'invalidité global resterait toujours largement inférieur au seuil légal donnant droit à une rente. En tous points mal fondés, le recours sera rejeté.</w:t>
      </w:r>
    </w:p>
    <w:p>
      <w:r>
        <w:rPr>
          <w:b/>
        </w:rPr>
        <w:t>E. 18</w:t>
      </w:r>
    </w:p>
    <w:p>
      <w:r>
        <w:t>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A/3255/2015 - 26/26 -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