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ATAS/935/2015 vom 7. Dezember 2015</w:t>
      </w:r>
    </w:p>
    <w:p>
      <w:r>
        <w:t>GE Cour de justice, 2015-12-07, FR</w:t>
      </w:r>
    </w:p>
    <w:p>
      <w:r>
        <w:rPr>
          <w:b/>
        </w:rPr>
        <w:t xml:space="preserve">Quelle: </w:t>
      </w:r>
      <w:r>
        <w:t>https://mcp.opencaselaw.ch/entscheid/ge_gerichte_ATAS_935_2015</w:t>
      </w:r>
    </w:p>
    <w:p>
      <w:r>
        <w:t>FR: GE_GERICHTE ATAS/935/2015 du 7 décembre 2015</w:t>
      </w:r>
    </w:p>
    <w:p>
      <w:r>
        <w:t>IT: GE_GERICHTE ATAS/935/2015 del 7 dicembre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A/585/2014 - 18/35 -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28 janvier 2014 est postérieure à l'entrée en vigueur des modifications de la LAI suscitées. Par conséquent au vu des faits pertinents, du point de vue matériel, le droit éventuel aux prestations doit être examiné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des prestations de l'AI.</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w:t>
      </w:r>
    </w:p>
    <w:p>
      <w:r>
        <w:t>A/585/2014 - 20/35 -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Pour déterminer la méthode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p. 507;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w:t>
      </w:r>
    </w:p>
    <w:p>
      <w:r>
        <w:t>A/585/2014 - 21/35 -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ce contexte, la rente de l'assurance-invalidité vise à la compensation d'un préjudice patrimonial qui présente une certaine importance (art. 28 al. 1 LAI); cela présuppose que la personne assurée subisse un dommage matériel objectif</w:t>
      </w:r>
    </w:p>
    <w:p>
      <w:r>
        <w:t>A/585/2014 - 19/35 -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6</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sans activité lucrative,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Pour satisfaire à l'obligation de réduire le dommage (voir ATF 129 V 463 consid.</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w:t>
      </w:r>
    </w:p>
    <w:p>
      <w:r>
        <w:t>A/585/2014 - 22/35 -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w:t>
      </w:r>
    </w:p>
    <w:p>
      <w:r>
        <w:t>A/585/2014 - 23/35 -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A/585/2014 - 24/35 - Il faut davantage tenir compte du degré de gravité inhérent au diagnostic du trouble somatoforme douloureux : comme « plainte essentielle », il faut une « douleur persistante, intense, s'accompagnant d'un sentiment de détresse » (ATF 141 V 281 consid. 2.1.1).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w:t>
      </w:r>
    </w:p>
    <w:p>
      <w:r>
        <w:t>A/585/2014 - 25/35 -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w:t>
      </w:r>
    </w:p>
    <w:p>
      <w:r>
        <w:t>A/585/2014 - 26/35 -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A/585/2014 - 27/35 -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f.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g.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A/585/2014 - 28/35 -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w:t>
      </w:r>
    </w:p>
    <w:p>
      <w:r>
        <w:rPr>
          <w:b/>
        </w:rPr>
        <w:t>E. 11</w:t>
      </w:r>
    </w:p>
    <w:p>
      <w:r>
        <w:t>En l'espèce, il y a lieu de déterminer en premier lieu le statut de l'assurée. Elle a indiqué que, sans atteinte à la santé, elle aurait continué son activité professionnelle à un taux d’activité de 28 % en tant qu’employée d’entretien. Il est établi qu'elle a poursuivi une activité de nettoyeuse au même taux d’activité d'octobre 2004 à 2011 et qu'il n’y a pas eu de changement dans sa situation socio-familiale depuis l’atteinte à la santé. En conséquence, il peut être retenu, avec un degré de</w:t>
      </w:r>
    </w:p>
    <w:p>
      <w:r>
        <w:t>A/585/2014 - 29/35 - vraisemblance prépondérante, que, sans atteinte à la santé, elle aurait continué à travailler à 28 %. La recourante a ainsi un statut mixte, de 28 % pour l'activité lucrative et de 72 % dans l'accomplissement des travaux habituels.</w:t>
      </w:r>
    </w:p>
    <w:p>
      <w:r>
        <w:rPr>
          <w:b/>
        </w:rPr>
        <w:t>E. 12</w:t>
      </w:r>
    </w:p>
    <w:p>
      <w:r>
        <w:t>Il convient d'analyser ensuite la force probante des expertises judiciaires. a. L'intimé conteste la valeur probante de l'expertise du Dr N______, relevant que dernier a retenu des dates différentes pour déterminer le début de l'incapacité de travail, soit 2009, 2010 et 2012, en référence aux pages 16, 17 et 19 de son rapport et qu'il s'était, à l'évidence, trompé en indiquant "Monsieur" en page 18 de son rapport. Cette critique est fondée, si l'on prend en compte les pages 17 à 19 du rapport du Dr N______. Il apparaît toutefois que ces pages ne font pas partie de l'expertise de l'assurée, ce qu'a confirmé le Dr N______. Le Dr N______ a retenu comme diagnostics ayant une répercussion sur la capacité travail des cervico-dorso-lombalgies chroniques sur troubles de la posture et discarthrose, présentes depuis 2011. Il a précisé dans ses réponses, à la fin de son rapport, que l'incapacité de travail durable était survenue le 1er mars 2012, date de la fin de la prise en charge par l'assurance-accidents. Il est effectivement établi que HELSANA a pris en charge le cas jusqu'à fin février 2012. Ainsi, il n'y a pas de contradiction entre les dates mentionnées dans le rapport, l'expert ayant justifié pour quel motif il mentionnait la date du 1er mars 2012, pour le début de l'incapacité de travail durable. b. L'intimé reproche encore au Dr N______ d'avoir retenu que l'activité habituelle de nettoyeuse n'était plus adaptée, alors que l'activité habituelle de la recourante était celle d'agent d'entretien de bureau, ce qui n'impliquait pas le même cahier des charges. A cet égard, il y a lieu de relever que l'assurée a, elle-même, indiqué à l'OAI, dans sa demande de prestations, que son activité était le nettoyage. Son employeur a mentionné pour sa part qu'elle était employée d'entretien et précisé à l'OAI, dans son rapport du 28 septembre 2011, que les tâches de l'assurée consistaient, principalement, à enlever la poussière, nettoyer les sanitaires, vider les poubelles et, rarement à passer l’aspirateur et s’occuper des fournitures. L'activité de nettoyage correspond ainsi manifestement à celle d'agent d'entretien, étant précisé que ces activités peuvent évidemment toutes deux impliquer des tâches différentes selon les besoins spécifiques des bénéficiaires des prestations. On ne saurait ainsi reprocher à l'expert d'avoir considéré que l'activité de la recourante était le nettoyage, comme elle l'a elle-même indiqué. Ce grief doit donc être rejeté. c. L'intimé relève encore que l'expert retenait la possibilité d'une spondylarthrite ankylosante. Or, une telle possibilité, non prouvée objectivement, n'était ni probable, ni vraisemblable, et ne permettait pas de retenir une totale incapacité de</w:t>
      </w:r>
    </w:p>
    <w:p>
      <w:r>
        <w:t>A/585/2014 - 30/35 - travail. Le fait que l'expert n'avait pas procédé lui-même à des investigations à ce sujet, laissait penser qu'il avait lui-même exclu cette possibilité. Si l'on voit mal comment un diagnostic ayant une répercussion sur la capacité travail peut être posé sur une simple suspicion, il faut relever que l'expert retient un autre diagnostic avec répercussion sur la capacité de travail, qui est, lui, clairement établi, à savoir des cervico-dorso-lombalgies chroniques sur troubles de la posture et discarthrose. Ce dernier permet, à lui seul, de justifier les conclusions de l'expert quant à la capacité de travail de la recourante. Ainsi, les conclusions ne seraient pas différentes si le diagnostic de spondylarthrite ankylosante était établi. Ce grief est infondé. d. En conclusion, l'expertise du Dr N______ doit se voir reconnaître une pleine valeur probante. e. L'expertise du Dr O______ n'a, quant à elle, à pas été critiquée par les parties. f. Il ressort des rapports détaillés des experts N______ et O______ que leurs expertises ont été rendues en pleine connaissance du dossier médical, qu'elles reposent sur un examen approfondi, prennent en compte les plaintes de l'assurée, qui a été assistée d'un interprète, contiennent des conclusions motivées et pas de contradiction. Elles remplissent ainsi les critères permettant de leur reconnaître une pleine valeur probante.</w:t>
      </w:r>
    </w:p>
    <w:p>
      <w:r>
        <w:rPr>
          <w:b/>
        </w:rPr>
        <w:t>E. 13</w:t>
      </w:r>
    </w:p>
    <w:p>
      <w:r>
        <w:t>Il y a maintenant lieu d'examiner si la recourante souffre d'une atteinte à la santé ouvrant le droit à des prestations de l'AI.</w:t>
      </w:r>
    </w:p>
    <w:p>
      <w:r>
        <w:rPr>
          <w:b/>
        </w:rPr>
        <w:t>E. 14</w:t>
      </w:r>
    </w:p>
    <w:p>
      <w:r>
        <w:t>En ce qui concerne les troubles somatiques dont souffre l'assurée, ils n'entraînent pas d'incapacité de travail dans une activité adaptée à ses limitations fonctionnelles, selon l'expertise du Dr N______, dont la force probatoire a été reconnue. Les avis contraires des médecins traitants, dont aucun n'est spécialisé en rhumatologie contrairement à l'expert, ne remettent pas sérieusement en doute les conclusions de ce dernier.</w:t>
      </w:r>
    </w:p>
    <w:p>
      <w:r>
        <w:rPr>
          <w:b/>
        </w:rPr>
        <w:t>E. 15</w:t>
      </w:r>
    </w:p>
    <w:p>
      <w:r>
        <w:t>En ce qui concerne le trouble dépressif récurrent, actuellement en rémission, dont souffre l'assurée, il ne limite pas sa capacité de travail, selon l'expertise du Dr O______, dont la force probatoire a été reconnue. Cette conclusion n'est pas sérieusement remise en cause par les avis médicaux des médecins du Groupe médical de la Dôle, qui ne sont pas spécialisés en psychiatrie. Les avis médicaux du Dr I______ ne remettent pas non plus en doute les conclusions de l'expert psychiatre. Dans son rapport du 3 juillet 2012 à l'OAI, le Dr I______ retenait en effet une incapacité de travail totale, tout en indiquant qu'il n'avait vu que deux fois la patiente et que des informations lui manquaient. Dans son certificat du 25 février 2014, il a retenu une capacité de travail inférieure à 50 %, en précisant ne pas pouvoir évaluer cette capacité avec précision et en retenant un état dépressif, dont il ne précisait pas l'intensité.</w:t>
      </w:r>
    </w:p>
    <w:p>
      <w:r>
        <w:t>A/585/2014 - 31/35 -</w:t>
      </w:r>
    </w:p>
    <w:p>
      <w:r>
        <w:rPr>
          <w:b/>
        </w:rPr>
        <w:t>E. 16</w:t>
      </w:r>
    </w:p>
    <w:p>
      <w:r>
        <w:t>En ce qui concerne le syndrome douloureux somatoforme persistant diagnostiqué par le Dr O______ et la fibromyalgie diagnostiquée par le Dr N______, il convient d'analyser si les conclusions des experts sont compatibles avec la nouvelle jurisprudence du Tribunal fédéral. S'agissant des indicateurs de la catégorie du degré de gravité fonctionnelle, la plainte essentielle de l'assurée porte bien sur des douleurs constantes. L'intensité de ces dernières doit toutefois être relativisée, dès lors que l'assurée a indiqué au Dr O______ que les douleurs avaient diminué depuis son arrêt de travail, qu'elles étaient surtout présentes le matin et le soir et que les antalgiques étaient efficaces, sans supprimer toutefois la douleur. Le degré de gravité fonctionnelle apparaît également limité du fait que tant le Dr O______ que le Dr N______ ont constaté que l'assurée se déplaçait sans difficulté. Le Dr O______ a relevé que l'expertisée ne présentait pas de symptômes d'anxiété, qu'elle n'était pas particulièrement en prise à une souffrance psychique, ni particulièrement triste. Ainsi, au vu de la teneur des expertises et des déclarations de l'assurée, les douleurs ressenties par cette dernière sont d'une intensité variable et ne s'accompagnent pas d'un sentiment de détresse marqué. Il ressort de l'expertise psychiatrique que les plaintes somatiques de l'assurée ne sont pas survenues dans un cadre précis. Elle vit entourée de sa famille, avec laquelle elle n'a pas de conflit majeur. L'incapacité de travail est survenue en 2011, soit bien après son arrivée en Suisse, en 1993, et les scènes violentes auxquelles elle a assisté dans son pays, et plusieurs années après les dépressions post-partum marquées (2001 et 2006). Il n'apparaît donc pas que les douleurs dont souffre l'assurée sont survenues dans un contexte de conflits émotionnels ou de problèmes psycho-sociaux. S'agissant de l'indicateur du succès du traitement, le Dr O______ a établi, par le biais d'un monitoring thérapeutique, que l'assurée ne prenait pas régulièrement son traitement médicamenteux, qui devait permettre d'obtenir un état de rémission de son trouble dépressif récurrent. On ne saurait donc retenir un échec du traitement, malgré la coopération optimale de l'assurée. Il y a également lieu de relever à cet égard que l'assurée n'a pas été suivie par un spécialiste rhumatologue. S'agissant de l'indicateur de la comorbidité, l'assurée souffre d'un trouble dépressif récurrent, actuellement en rémission partielle, qualifié de peu sévère par l'expert. A teneur de l'expertise du Dr N______, elle souffre également de troubles somatiques qui la limitent physiquement, ne lui permettant plus d'exercer son activité professionnelle dans le ménage. Cet expert a également relevé que le manque d'activité physique et la faible musculature au niveau du rachis et de l'abdomen participaient aux douleurs de l'assurée. S'agissant de la structure de la personnalité de l'assurée, le Dr O______ a relevé que ses réponses étaient généralement informatives, qu'elle était normalement orientée</w:t>
      </w:r>
    </w:p>
    <w:p>
      <w:r>
        <w:t>A/585/2014 - 32/35 - dans les trois modes. Elle avait un discours bien ancré dans la réalité. Il n'avait pas observé de troubles du cours ou du contenu de la pensée. Elle n'avait pas adopté d'attitude d'écoute ni de phénomène de barrage de la pensée. Elle ne présentait pas d'élément maniaque, notamment pas d'accélération psychique ni d'état d'agitation. Elle n'était pas projective, méfiante ni interprétative. Cet expert a toutefois relevé que le tableau clinique n'allait probablement pas s'améliorer parce que l'expertisée était prise dans un processus d'invalidation. Sous réserve de cette dernière constatation, la personnalité et les ressources personnelles de l'assurée n'apparaissent pas limiter sa capacité à surmonter le trouble somatoforme douloureux. S'agissant de l'indicateur du contexte social, il y a lieu de constater que l'assurée bénéficie du soutien de son environnement familial proche, soit son mari et ses enfants. L'assurée a indiqué avoir renoncé à la vie sociale qu'elle avait au sein de la communauté somalienne depuis 2008 et avoir deux connaissances. L'expert O______ a relevé à cet égard qu'elle n'avait jamais été véritablement intégrée en Suisse. S'agissant des indicateurs liés à la cohérence, le Dr O______ a relevé que les plaintes subjectives étaient beaucoup plus importantes que les constatations objectives. Contrairement à ses plaintes, l'assurée ne présentait pas de fatigue marquée et ne paraissait pas particulièrement en prise à une souffrance psychique. A aucun moment, elle ne s'était montrée particulièrement émue. Les Drs O______ et N______ ont tous deux constaté que l'expertisée se déplaçait sans difficultés. Le Dr O______ a également relevé que la fréquence des entretiens avec le Dr I______ ne correspondait pas à la prise en charge d'une dépression moyenne, car cette affection nécessitait des entretiens médicaux hebdomadaires, voire bimensuels, et surtout des adaptations du traitement pharmacologique. Dans la mesure où l'assurée ne fait que peu de choses à la maison et n'a manifestement aucune autre activité, qu'elle a renoncé à fréquenter la communauté somalienne en 2008, les limitations apparaissent uniformes dans ses diverses activités. L'absence de compliance médicamenteuse et de suivi par un spécialiste rhumatologue relativise le poids effectif des souffrances.</w:t>
      </w:r>
    </w:p>
    <w:p>
      <w:r>
        <w:rPr>
          <w:b/>
        </w:rPr>
        <w:t>E. 17</w:t>
      </w:r>
    </w:p>
    <w:p>
      <w:r>
        <w:t>Il ressort de l'analyse qui précède que les expertises judiciaires ont pris en compte tous les indicateurs établis par la nouvelle jurisprudence du Tribunal fédéral pour évaluer le caractère invalidant du trouble somatoforme douloureux et qu'il n'est pas nécessaire de faire procéder à un complément d'expertise. Au vu de l'analyse des indicateurs, il doit être retenu, avec le degré de vraisemblance prépondérante requis, que le trouble somatoforme douloureux et la fibromyalgie dont souffre la recourante sont surmontables et, partant, qu'ils ne sont pas invalidants.</w:t>
      </w:r>
    </w:p>
    <w:p>
      <w:r>
        <w:rPr>
          <w:b/>
        </w:rPr>
        <w:t>E. 18</w:t>
      </w:r>
    </w:p>
    <w:p>
      <w:r>
        <w:t>Selon le Dr N______, les limitations fonctionnelles de l'assurée l'empêchent d'effectuer toutes activités comme femme de ménage, mais sa capacité de travail est</w:t>
      </w:r>
    </w:p>
    <w:p>
      <w:r>
        <w:t>A/585/2014 - 33/35 - entière, dès le 1er mars 2012, dans une activité adaptée à ses limitations fonctionnelles. Il y a lieu d'examiner l'impact de cette conclusion sur sa capacité à accomplir les travaux habituels dans son ménage. Pour déterminer cette capacité, il y a lieu en principe, s'agissant de troubles somatiques, de se fonder sur les conclusions de l'enquête ménagère. En l'espèce, un enquête ménagère a été établie par une enquêtrice qui s'est rendue au domicile de l'assurée et s'est fondée sur un entretien d'une heure avec celle-ci et son époux. Cette enquête a pleine valeur probante, dès lors qu'il n'apparaît pas que les déclarations de l'assurée ne concordent pas avec les constatations faites sur le plan médical. En effet, le fait que l'expert ait retenu une incapacité de travail totale dans l'activité habituelle de nettoyeuse n'implique pas forcément une incapacité totale à accomplir les travaux habituels dans son ménage. Si les deux activités sont très semblables, le travail de nettoyage dans une activité professionnelle est plus pénible que le travail ménager dans la sphère privée, car ce dernier peut plus facilement être aménagé en fonction des limitations. En effet, l'obligation de réduire le dommage impose que la personne qui s'occupe du ménage fasse ce que l'on peut raisonnablement attendre d'elle afin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et en repoussant les travaux peu urgents. De tels aménagements ne sont pas possible dans une activité professionnelle. En l'espèce, les tâches que l'enquêtrice a estimé pouvant être exigées de l'assurée sont compatibles avec ses limitations, dès lors qu'elle a pris en considération le fait qu'elle ne pouvait pas porter de choses lourdes, qu'elle ne pouvait faire que des petites tâches - en fractionnant l'activité sur plusieurs périodes, en travaillant assise ou pas longtemps debout et en n'ayant pas à se baisser de manière répétitive - et en retenant qu'elle ne pouvait pas passer la serpillière et l'aspirateur ainsi que nettoyer les sanitaires. L'assurée a elle-même indiqué au Dr O______ qu'elle préparait le petit-déjeuner et passait la poussière et au Dr N______ qu'elle surveillait que tout ce passe bien s'agissant des tâches ménagères effectuées par son mari et ses enfants. Ainsi, il y a lieu de retenir, conformément aux conclusions de l'enquête ménagère, une incapacité de 23 % du 72 % du temps consacré par l'assurée aux travaux ménagers.</w:t>
      </w:r>
    </w:p>
    <w:p>
      <w:r>
        <w:rPr>
          <w:b/>
        </w:rPr>
        <w:t>E. 19</w:t>
      </w:r>
    </w:p>
    <w:p>
      <w:r>
        <w:t>S'agissant du degré d'invalidité dans la sphère professionnelle, il convient encore de comparer le salaire que pourrait obtenir l'assurée dans l'activité qu'elle exerçait avant ses problème de santé avec celui qu'elle peut réaliser dans une activité professionnelle adaptée à ses limitations fonctionnelles. Elle a touché CHF 9'186.35 en 2010, ce qui correspond à CHF 9'521.17 en 2014, soit l'année de la décision en cause.</w:t>
      </w:r>
    </w:p>
    <w:p>
      <w:r>
        <w:t>A/585/2014 - 34/35 - Compte tenu de l'activité de substitution raisonnablement exigible de sa part dans un emploi adapté à son état de santé, le salaire de référence est celui auquel peuvent prétendre les femmes effectuant des activités simples et répétitives (niveau de qualification 4) dans le secteur privé, à savoir CHF 50'700.- par année (CHF 4'225.- x 12; ESS 2010, TA1). Au regard du large éventail d'activités simples et répétitives que recouvrent les secteurs de la production et des services, on doit en effet convenir qu'un certain nombre d’entre elles sont légères et adaptées aux limitations de la recourante.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52'854.75, et à CHF 54'781.20 indexé à 2014 selon l'évolution des salaires en termes nominaux, ce qui correspond à un salaire de CHF 15'338.73 à 28 %. Il convient encore d'effectuer un abattement supplémentaire sur le salaire statistique de 10 % pour tenir compte des limites fonctionnelles de la recourante. Il en résulte que le salaire annuel qu'elle pourrait réaliser avec ses limitations fonctionnelle est de CHF 15'338.73. Ce dernier étant plus élevé que celui qu'elle gagnerait en exerçant la même activité professionnelle qu'avant ses troubles, mais actualisé, il n'y a pas d'invalidité à retenir dans le 28 % de son activité professionnelle.</w:t>
      </w:r>
    </w:p>
    <w:p>
      <w:r>
        <w:rPr>
          <w:b/>
        </w:rPr>
        <w:t>E. 20</w:t>
      </w:r>
    </w:p>
    <w:p>
      <w:r>
        <w:t>Le taux d’invalidité total à retenir est de 16,5 %. Ce taux retenu n'ouvre pas le droit aux prestations de l'AI, l'art. 28 let. c LAI conditionnant ce droit à une invalidité de 40 % au moins.</w:t>
      </w:r>
    </w:p>
    <w:p>
      <w:r>
        <w:rPr>
          <w:b/>
        </w:rPr>
        <w:t>E. 21</w:t>
      </w:r>
    </w:p>
    <w:p>
      <w:r>
        <w:t>Le recours s'avère ainsi mal fondé et sera rejeté.</w:t>
      </w:r>
    </w:p>
    <w:p>
      <w:r>
        <w:t>A/585/2014 - 35/35 -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