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ATAS/934/2018 vom 15. Oktober 2018</w:t>
      </w:r>
    </w:p>
    <w:p>
      <w:r>
        <w:t>GE Cour de justice, 2018-10-15, FR</w:t>
      </w:r>
    </w:p>
    <w:p>
      <w:r>
        <w:rPr>
          <w:b/>
        </w:rPr>
        <w:t xml:space="preserve">Quelle: </w:t>
      </w:r>
      <w:r>
        <w:t>https://mcp.opencaselaw.ch/entscheid/ge_gerichte_ATAS_934_2018</w:t>
      </w:r>
    </w:p>
    <w:p>
      <w:r>
        <w:t>FR: GE_GERICHTE ATAS/934/2018 du 15 octobre 2018</w:t>
      </w:r>
    </w:p>
    <w:p>
      <w:r>
        <w:t>IT: GE_GERICHTE ATAS/934/2018 del 15 ottobre 2018</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Qu'il s'agit en l'occurrence d'examiner la recevabilité du recours ; Que selon l'art. 61 LPGA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w:t>
      </w:r>
    </w:p>
    <w:p>
      <w:r>
        <w:t>- 4/7-</w:t>
      </w:r>
    </w:p>
    <w:p>
      <w:r>
        <w:t>A/1937/2018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 Que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(ATF np 8C_621/2007 du 5 mai 2008, consid. 4.2; 6A.100/2006 du 28 mars 2007, consid. 2.2.1). La jurisprudence établit une présomption de fait - réfragable - selon laquelle l'employé postal a correctement inséré l'avis de retrait dans la boîte à lettres du destinataire et la date de ce dépôt, telle qu'elle figure sur la liste des</w:t>
      </w:r>
    </w:p>
    <w:p>
      <w:r>
        <w:t>- 5/7-</w:t>
      </w:r>
    </w:p>
    <w:p>
      <w:r>
        <w:t>A/1937/2018 notifications, est exacte. Cette présomption entraîne un renversement du fardeau de la preuve au détriment du destinataire: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(ATF 2C 146/11 du 14 février 2011; ATF 130 III 396 consid. 1.2.3; ATF np 2C_86/2010 du 4 octobre 2010, consid. 2) ; Une deuxième notification est en principe privée d’effet si la première a été faite régulièrement (ATF 119 V 89 consid. 4b ; ATA/743/2003 du 7 octobre 2003 ; P. MOOR, Droit administratif, vol II, 3ème éd., p. 353) ;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 Qu'en l'occurrence, il n'est pas contesté que le recours a été interjeté très largement après le délai de 30 jours dès sa réception: la recourante en était du reste pleinement consciente, dans la mesure où elle affirme elle-même n'avoir pas pu faire « opposition à votre tribunal dans le délai », ce délai arrivant à échéance le vendredi 18 mai 2018 à minuit, au plus tard (selon la fiction juridique rappelée précédemment, en cas de notification par courrier recommandé) ; Qu'il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 Que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w:t>
      </w:r>
    </w:p>
    <w:p>
      <w:r>
        <w:t>- 6/7-</w:t>
      </w:r>
    </w:p>
    <w:p>
      <w:r>
        <w:t>A/1937/2018 117 V 261 consid. 3b ; arrêt du Tribunal fédéral 9C_632/2012 du 10 janvier 2013 consid. 6.2.1), étant précisé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 Qu'en l'espèce, une restitution du délai de recours au sens de l'art. 41 al. 1 LPGA ne se justifie pas. En effet, l’on ne peut considérer que la recourante a été empêchée sans sa faute d’agir dans le délai fixé ; Qu'en effet, l'allégation selon laquelle elle n'aurait pas reçu la notification (de l'avis de retrait du pli recommandé) dans sa boîte aux lettres n'apparaît pas vraisemblable, dès lors que l'office de poste a bien enregistré dans son système informatique le dépôt de cet avis de retrait le 18 avril 2018 à 12h14, la recourante n'apportant aucun élément susceptible de rendre vraisemblable de manière prépondérante que malgré cet enregistrement, celui-ci ne correspondrait pas à la réalité, de sorte que la recourante doit supporter l'échec de la preuve qui en l'espèce lui incombait ; Que s'agissant de l'allégation de la recourante selon laquelle le courrier simple que lui a adressé l'intimé le 2 mai 2018 (un mercredi) aurait croisé sa période de vacances, la vraisemblance de celle-ci, au degré exigé en matière d'assurances sociales, peut rester ouverte, ceci en dépit du fait que la preuve apportée par la recourante au sujet de sa période de vacances (copie électronique du billet d'avion) montrant que l'heure de départ de son vol de Genève à Casablanca était fixé le lundi 7 mai 2018 à 17h20: en effet, le fait de n'avoir pas reçu un courrier au motif de s'être trouvé en vacances n'est pas considéré comme un motif valable de restitution. En effet, en tout état, la recourante qui avait formé opposition à la décision de l'OCE du 21 février 2018, le 21 mars 2018, devait s'attendre à recevoir une décision sur opposition, de sorte qu'il lui incombait de prendre toutes mesures nécessaires pour que son courrier puisse l'atteindre, en dépit de son absence momentanée pour vacances à l'étranger ; Qu'en l'absence de motif valable de restitution de délai, le recours doit être déclaré irrecevable pour cause de tardiveté.</w:t>
      </w:r>
    </w:p>
    <w:p>
      <w:r>
        <w:t>- 7/7-</w:t>
      </w:r>
    </w:p>
    <w:p>
      <w:r>
        <w:t>A/1937/2018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