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ATAS/934/2017 vom 19. Oktober 2017</w:t>
      </w:r>
    </w:p>
    <w:p>
      <w:r>
        <w:t>GE Cour de justice, 2017-10-19, FR</w:t>
      </w:r>
    </w:p>
    <w:p>
      <w:r>
        <w:rPr>
          <w:b/>
        </w:rPr>
        <w:t xml:space="preserve">Quelle: </w:t>
      </w:r>
      <w:r>
        <w:t>https://mcp.opencaselaw.ch/entscheid/ge_gerichte_ATAS_934_2017</w:t>
      </w:r>
    </w:p>
    <w:p>
      <w:r>
        <w:t>FR: GE_GERICHTE ATAS/934/2017 du 19 octobre 2017</w:t>
      </w:r>
    </w:p>
    <w:p>
      <w:r>
        <w:t>IT: GE_GERICHTE ATAS/934/2017 del 19 ottobre 2017</w:t>
      </w:r>
    </w:p>
    <w:p>
      <w:pPr>
        <w:pStyle w:val="Heading2"/>
      </w:pPr>
      <w:r>
        <w:t>Erwägungen</w:t>
      </w:r>
    </w:p>
    <w:p>
      <w:r>
        <w:rPr>
          <w:b/>
        </w:rPr>
        <w:t>E. 33</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A/3371/2017 - 8/13 - 2. Interjeté dans les délai et forme prescrits par la loi, le recours est recevable, compte tenu de la suspension des délais entre le 15 juillet et le 15 août inclusivement (art.</w:t>
      </w:r>
    </w:p>
    <w:p>
      <w:r>
        <w:rPr>
          <w:b/>
        </w:rPr>
        <w:t>E. 38</w:t>
      </w:r>
    </w:p>
    <w:p>
      <w:r>
        <w:t>al. 4 let. b et 56 ss LPGA). 3. L’objet du litige est la question de savoir si la recourante peut bénéficier des prestations de l’assurance-invalidité sous forme d’une rente.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5. En vertu de l’art. 28 al. 2 LAI, l’assuré a droit à une rente entière s’il est invalide à 70% au moins, à un trois-quarts de rente s'il est invalide à 60% au moins, à une demi-rente s’il est invalide à 50% au moins, ou à un quart de rente s’il est invalide à 40% au moins.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 l’art. 29 al. 1 LAI, le droit à la rente prend naissance au plus tôt à l’échéance d’une période de six mois à compter de la date à laquelle l’assuré a fait valoir son droit aux prestations. Par ailleurs, l'assuré doit avoir présenté une incapacité de travail d'au moins 40% en moyenne durant une année sans interruption notable.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A/3371/2017 - 9/13 -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premier lieu, il convient d'examiner si la recourante présente une année d'incapacité de travail d'au moins 40% sans interruption notable au moment où, selon l'intimé, elle a recouvré une pleine capacité de travail, soit le 4 juin 2013.</w:t>
      </w:r>
    </w:p>
    <w:p>
      <w:r>
        <w:t>A/3371/2017 - 10/13 - Il n'est pas contesté que la recourante était en incapacité de travail totale dès le 2 février 2012. Le 20 mai 2012, elle a repris le travail à 50%. A partir du 16 juillet 2012, les médecins ont attesté une capacité de travail de 100%. Toutefois, selon les déclarations de la recourante, elle n'avait travaillé que pendant trois jours à ce taux et était ensuite partie en vacances. Lorsqu'elle a repris le travail à son retour, elle a ressenti immédiatement des céphalées et des vomissements, raison pour laquelle a dû consulter en urgence (cf. expertise du Dr I______, p. 3). Par la suite, une incapacité de travail totale est attestée dès le 26 août 2012 pour une durée indéterminée. Du courriel du 10 juillet 2012 de Mme D______ ressort que la recourante n'était en fait pas capable de travailler lorsqu'elle est revenue au travail. En effet, selon ses collègues, elle avait régulièrement des pertes d'équilibre, se déplaçait en vacillant parfois, ne pouvait porter des charges lourdes et donc les boîtes d'instrumentation, avait fait deux malaises et se plaignait régulièrement de très forts maux de tête (au point de tenir sa tête dans ses mains en serrant les dents). Elle avait par ailleurs fait part à ses collègues qu'elle était épuisée après ses matinées de travail et rentrait se coucher pour le reste de la journée. Ses collègues ont aussi noté qu'elle avait des absences, au point de ne plus se rappeler ce qu'elle venait d'emballer ou de mettre dans la boîte d'instruments. Les collègues devaient ainsi sans cesse être derrière elle, afin de prévenir tout malaise ou mal-être et pallier les erreurs, lesquelles pouvaient être gravissimes en stérilisation dans le bloc opératoire. En plus de leur propre tâche, les collègues devaient donc aider et soutenir l'assurée dans son travail. Par ailleurs, l'assurée présumait de ses forces, ne s'écoutait pas et avait très peur de perdre son travail, ce qui l'amenait à minimiser et à dissimuler son état de santé et son ressenti. Au demeurant, le Dr L______ retient également dans son expertise que la symptomatologie dépressive était trop sévère au moment de la reprise de travail, ce qui a probablement conduit à l'échec de celle-ci (p. 13 ch. 4). Par conséquent, il sied d'admettre que la recourante n'était pas réellement capable de travailler dès mai 2012 et encore moins à 100% à compter du 16 juillet 2012. Par ailleurs, elle n'a travaillé à 100% que pendant trois jours et était ensuite partie en vacances. La période de vacances ne saurait toutefois être considérée comme une période de capacité de travail, d'autant moins que la recourante n'était à l'évidence pas en mesure d'accomplir correctement son travail et présentait plutôt une charge pour ses collègues qui devaient constamment la surveiller. Elle n'avait en outre aucune raison de se faire établir un certificat d'incapacité de travail pendant la période des vacances. Cela étant, il appert qu'au moment où l'intimé a considéré qu'elle avait recouvré une pleine capacité de travail, soit en juin 2013, elle présentait une incapacité de travail de plus 40% en moyenne depuis quinze mois sans interruption notable, la reprise de travail de trois jours à 100% ne pouvant être considérée comme telle. Comme elle était en février 2013 en incapacité de travail à 100% et que l'éventuelle amélioration</w:t>
      </w:r>
    </w:p>
    <w:p>
      <w:r>
        <w:t>A/3371/2017 - 11/13 - de l'état de santé ne doit être prise en considération qu'après une période de trois mois (art. 88a al. 1 du règlement du 17 janvier 1961 sur l’assurance-invalidité du 17 janvier 1961 - RAI - RS 831.201), elle a au moins droit à une rente d'invalidité entière de février à septembre 2013. 11. Reste à examiner le droit à une rente dès octobre 2013. Pour admettre une pleine capacité de travail depuis juin 2013, l’intimé s’est fondé sur l'expertise du Dr L______. Selon ce médecin, et également le Dr I______, la recourante ne souffre d’aucune atteinte psychiatrique incapacitante. Cependant, de l’avis de la Chambre de céans, aucune valeur probante ne peut être attribuée à l'expertise du Dr L______. En effet, celle-ci ne prend manifestement pas en compte l’intégralité du dossier médical, notamment les constatations du Dr K______ sur la base des examens neurologiques et deux bilans neuropsychologiques. Ceci est d’autant plus choquant que les plaintes de la recourante ont porté sur ses nombreux oublis dans la vie de tous les jours. À la question de savoir ce qu’il l’empêcherait de travailler, elle déclare au Dr L______ que ce sont les oublis, la fatigue et le fait qu’elle ne pourrait plus réfléchir suffisamment pour trier correctement les instruments médicaux. Le Dr L______ ne pouvait notamment pas écarter les plaintes de la recourante concernant les troubles cognitifs sur la base d’un seul examen clinique. En effet, en présence de tels troubles, il convient de les faire objectiver par un bilan neuropsychologique. Or, selon le dernier bilan neuropsychologique du Dr K______ en octobre 2014, la recourante présente toujours des séquelles d’une lésion fronto-pariétale avec des troubles sévères en mémoire antérograde verbale et des troubles légers de certaines fonctions exécutives (ralentissement, difficultés de flexibilité mentale, d’attention sélective et d’incitation verbale). Par rapport au précédent examen, il y a uniquement une discrète amélioration de la mémoire verbale. Par ailleurs, l’état anxio-dépressif domine. En outre, la mission de l’expert, selon le médecin du SMR, était une expertise psychiatrique avec un examen neuropsychologique. Ce volet, indispensable en l'occurrence au vu des plaintes de la recourante, faisant défaut et l’expert n’ayant de surcroît pas tenu compte des examens neuropsychologiques antérieurs, l’expertise ne peut être considérée comme complète. Au vu du résultat des examens neuropsychologiques, elle n'est pas non plus convaincante. 12. Il s’avère ainsi que l’instruction de la cause est lacunaire, l’incapacité de la recourante ne pouvant être déterminée uniquement sur la base d’expertises psychiatriques, mais nécessitant des examens neuropsychologiques. Dans la mesure où le dernier examen neuropsychologique est antérieur de plus de deux ans et demi à la décision litigieuse, il y a lieu de refaire un bilan neuropsychologique. Par ailleurs, il convient de compléter les constatations</w:t>
      </w:r>
    </w:p>
    <w:p>
      <w:r>
        <w:t>A/3371/2017 - 12/13 - médicales par un stage dans un centre d’observation professionnelle, afin d’établir concrètement quelle est la répercussion des troubles cognitifs sur la capacité de travail. 13. Cela étant, le recours sera partiellement admis, la décision annulée et la recourante mise au bénéfice d'une rente d'invalidité entière de février à septembre 2013. La cause sera par ailleurs renvoyée à l’intimé afin qu’il mette en œuvre un nouveau bilan neuropsychologique et, si sur la base de celui-ci une capacité de travail résiduelle paraît probable, un stage d’observation professionnelle à titre de mesure d’instruction. Ceci fait, il lui appartiendra de rendre une nouvelle décision sur le droit aux prestations à compter d’octobre 2013. 14. Dès lors que l’intimé succombe partiellement, une indemnité de CHF 3'000.- est octroyée à la recourante à titre de dépens. 15. L’émolument de justice, fixé à CHF 200.-, est mis à la charge de l’intimé.</w:t>
      </w:r>
    </w:p>
    <w:p>
      <w:r>
        <w:t>A/3371/2017 - 13/13 -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