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ATAS/934/2011 vom 10. Oktober 2011</w:t>
      </w:r>
    </w:p>
    <w:p>
      <w:r>
        <w:t>GE Cour de justice, 2011-10-10, FR</w:t>
      </w:r>
    </w:p>
    <w:p>
      <w:r>
        <w:rPr>
          <w:b/>
        </w:rPr>
        <w:t xml:space="preserve">Quelle: </w:t>
      </w:r>
      <w:r>
        <w:t>https://mcp.opencaselaw.ch/entscheid/ge_gerichte_ATAS_934_2011</w:t>
      </w:r>
    </w:p>
    <w:p>
      <w:r>
        <w:t>FR: GE_GERICHTE ATAS/934/2011 du 10 octobre 2011</w:t>
      </w:r>
    </w:p>
    <w:p>
      <w:r>
        <w:t>IT: GE_GERICHTE ATAS/934/2011 del 10 ottobre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w:t>
      </w:r>
    </w:p>
    <w:p>
      <w:r>
        <w:t>- 18/25-</w:t>
      </w:r>
    </w:p>
    <w:p>
      <w:r>
        <w:t>A/3752/2010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17 mars 2007, la LPGA s’applique au cas d’espèce.</w:t>
      </w:r>
    </w:p>
    <w:p>
      <w:r>
        <w:rPr>
          <w:b/>
        </w:rPr>
        <w:t>E. 3</w:t>
      </w:r>
    </w:p>
    <w:p>
      <w:r>
        <w:t>Interjeté dans les forme et délai prévus par la loi, le recours déposé le 29 octobre 2010 contre la décision du 28 septembre 2010 est recevable (art. 56 ss LPGA).</w:t>
      </w:r>
    </w:p>
    <w:p>
      <w:r>
        <w:rPr>
          <w:b/>
        </w:rPr>
        <w:t>E. 4</w:t>
      </w:r>
    </w:p>
    <w:p>
      <w:r>
        <w:t>Le litige porte sur la question de savoir si la recourante a droit à des prestations d’assurance de la part de l’intimée pour les atteintes dont elle souffre encore.</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w:t>
      </w:r>
    </w:p>
    <w:p>
      <w:r>
        <w:t>- 19/25-</w:t>
      </w:r>
    </w:p>
    <w:p>
      <w:r>
        <w:t>A/3752/2010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w:t>
      </w:r>
    </w:p>
    <w:p>
      <w:r>
        <w:rPr>
          <w:b/>
        </w:rPr>
        <w:t>E. 6</w:t>
      </w:r>
    </w:p>
    <w:p>
      <w:r>
        <w:t>Aux termes des art. 24 et 25 LAA, une indemnité équitable pour atteinte à l'intégrité est versée à l'assuré qui, par suite d'accident, souffre d'une atteinte</w:t>
      </w:r>
    </w:p>
    <w:p>
      <w:r>
        <w:t>- 20/25-</w:t>
      </w:r>
    </w:p>
    <w:p>
      <w:r>
        <w:t>A/3752/2010 importante et durable à son intégrité physique, mentale ou psychique (art. 24 al. 1 LAA). L’indemnité est fixée en même temps que la rente d’invalidité ou, si l’assuré ne peut prétendre une rente, lorsque le traitement médical est terminé (art. 24 al. 2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du 20 décembre 1982 (OLAA ; RS 832.202),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w:t>
      </w:r>
    </w:p>
    <w:p>
      <w:r>
        <w:t>- 21/25-</w:t>
      </w:r>
    </w:p>
    <w:p>
      <w:r>
        <w:t>A/3752/2010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8</w:t>
      </w:r>
    </w:p>
    <w:p>
      <w:r>
        <w:t>En l’occurrence, s’agissant en particulier de la question de l’atteinte à l’intégrité, l’intimée a retenu que les experts mandatés n’ont jamais constaté l’existence de dommages directs et permanents, de sorte que la recourante n’a pas droit à une indemnité (IPAI).</w:t>
      </w:r>
    </w:p>
    <w:p>
      <w:r>
        <w:t>- 22/25-</w:t>
      </w:r>
    </w:p>
    <w:p>
      <w:r>
        <w:t>A/3752/2010 A la lecture des expertises, la Cour de céans constate cependant que l’on ne peut accorder un poids décisif, comme le fait l’intimée, aux conclusions émises par les experts concernant les atteintes au genou gauche, dont le rapport de causalité avec l’accident survenu le 17 mars 2007 n’est pas contesté. On rappellera en effet que par rapport du 30 septembre 2008, les Drs . J___________, FMH en rhumatologie, K___________, FMH en neurologie, et . L___________ FHM en orthopédie, médecins auprès du CEMED, ont diagnostiqué, une entorse au genou gauche avec lésion du pivot central et instabilité résiduelle et une déchirure du ménisque interne du genou gauche. Ils ont estimé que l’entorse de genou gauche et la déchirure du ménisque étaient vraisemblablement en lien de causalité avec l’accident. Selon ces experts, il n’y aura pas de statu quo pour le genou gauche. S’agissant de l’atteinte à l’intégrité, les experts ont considéré que la légère instabilité du genou n’ouvrait pas de droit à une indemnisation pour atteinte à l’intégrité, selon les tables 5 ou 6 de la SUVA. En cas d’évolution vers une arthrose évolutive secondaire, la situation devait être réévaluée. Les 14 et 19 mai 2009, les Drs N___________, FMH chirurgie orthopédique, O___________, FMH en neurologie, S___________, FMH psychiatrie et psychothérapie, et T___________, FMH médecine interne/rhumatologie, médecins auprès du BREM, ont examiné l’assurée. Par rapport du 6 juillet 2009, les experts ont diagnostiqué une gonarthrose interne bilatérale. Ils ont expliqué que lors de l’accident assuré, il y avait eu vraisemblablement une aggravation des lésions méniscales du compartiment interne du genou gauche, siège d’une gonarthrose. Il était vraisemblable qu’une déchirure s’était produite dans le tissu méniscal déjà dégénératif. Au moment de l’expertise, la relation de causalité restait vraisemblable. Les gonalgies résiduelles étaient donc en lien de causalité vraisemblable avec l’accident de 2007. S’agissant de l’atteinte à l’intégrité, les experts du BREM ont considéré qu’il n’y a pas d’atteinte, car « la gonarthrose gauche n’est pas plus avancée que la gonarthrose droite, la lésion méniscale ne se complique pas d’une arthrose plus avancée et les amplitudes articulaires actuelles ne permettent pas de retenir une atteinte à l’intégrité atteignant un seuil d’indemnisation selon les tables 2 et 5 de la SUVA, même en tenant compte d’un risque évolutif de gonarthrose » (page 71 du rapport d’expertise). A la lecture de ce qui précède, la Cour de céans est d’avis que les explications fournies par les experts du BREM n’emportent pas la conviction. En effet, ce n’est pas la comparaison de l’état du genou gauche avec l’état du genou droit qui permet de déterminer s’il existe une atteinte à l’intégrité ; il s’agit plutôt de savoir si la recourante souffre d'une atteinte importante et durable à son intégrité physique. Or,</w:t>
      </w:r>
    </w:p>
    <w:p>
      <w:r>
        <w:t>- 23/25-</w:t>
      </w:r>
    </w:p>
    <w:p>
      <w:r>
        <w:t>A/3752/2010 les experts du BREM ont eux-mêmes considéré que si les lésions au genou ne modifient pas les capacités de déplacements de la recourante dans les limites des obligations professionnelles usuelles, elles peuvent néanmoins limiter les activités sportives (rapport d’expertise page 57). Cette atteinte risque en outre de durer, puisque les experts sont d’avis qu’il n’y a pas de traitement conservateur à proposer pour la lésion méniscale, qu’une méniscectomie arthroscopique resterait discutable, que toutefois en l’état du genou et au vu de l’âge de la recourante, cette intervention comporte un risque élevé de péjoration (rapport d’expertise page 67). En outre, il appert que le risque d’une gonarthrose gauche - dont ont fait état les experts du CEMED et qui, selon eux, doit donner lieu à une réévaluation de l’atteinte à l’intégrité - est survenu, puisque les experts du BREM ont diagnostiqué une gonarthrose interne.</w:t>
      </w:r>
    </w:p>
    <w:p>
      <w:r>
        <w:rPr>
          <w:b/>
        </w:rPr>
        <w:t>E. 9</w:t>
      </w:r>
    </w:p>
    <w:p>
      <w:r>
        <w:t>A défaut d’informations fiables et suffisantes sur la question de savoir si la recourante présente une atteinte à l’intégrité susceptible d’être indemnisée en raison des atteintes qu’elle présente au genou gauche suite à l’accident assuré - étant précisé qu’aucun autre médecin ne s’est déterminé sur ce point - il convient de mettre en œuvre une expertise, qui sera confiée au Dr AA___________, spécialiste FMH chirurgie orthopédique, à Genève. Enfin, s’agissant de la mission de l’expert, il ne sera pas tenu compte des questions proposées par la recourante dès lors que la Cour de céans estime que les pièces versées à la procédure sont suffisantes pour y répondre.</w:t>
      </w:r>
    </w:p>
    <w:p>
      <w:r>
        <w:t>- 24/25-</w:t>
      </w:r>
    </w:p>
    <w:p>
      <w:r>
        <w:t>A/3752/2010 PAR CES MOTIFS, LA CHAMBRE DES ASSURANCES SOCIALES : Statuant A la forme : 1. Déclare le recours recevable. Préparatoirement : 2. Ordonne une expertise orthopédique, l’expert ayant pour mission d’examiner et d’entendre Madame P____________, après s’être entouré de tous les éléments utiles et après avoir pris connaissance du dossier de l’intimé, ainsi que du dossier de la présente procédure en s’entourant d’avis de tiers au besoin. 3. La confie au Dr AA___________, spécialiste FMH chirurgie orthopédique. 4. Charge l’expert de répondre aux questions suivantes : 1. Quelle est l'anamnèse ? 2. Quelles sont les données subjectives de la personne ? 3. Quelles sont les constatations objectives ? 4. Quels sont les diagnostic(s) au genou gauche qui sont en lien de causalité très vraisemblable ou vraisemblable avec l’accident du 17 mars 2007 ? 5. Constatez-vous chez Madame P____________ une atteinte à l’intégrité susceptible d’être indemnisée ? a) Si non, pourquoi ?</w:t>
      </w:r>
    </w:p>
    <w:p>
      <w:r>
        <w:t>b) Si oui, quel est le taux applicable selon l’annexe 3 OLAA (directement ou par analogie) en vous référant également aux tables de la Division médicale de la SUVA ? c) Si une aggravation de l’état séquellaire est prévisible, veuillez en tenir compte dans l’évaluation de l’atteinte à l’intégrité et l’expliquer en détaillant le pourcentage dû à cette aggravation. 6. Faire toute remarque et proposition utiles.</w:t>
      </w:r>
    </w:p>
    <w:p>
      <w:r>
        <w:t>- 25/25-</w:t>
      </w:r>
    </w:p>
    <w:p>
      <w:r>
        <w:t>A/3752/2010 5. Invite l’expert à déposer à sa meilleure convenance un rapport en trois exemplaires à la Cour de céans. 6. Réserve le sort des frais jusqu’à droit jugé au fond.</w:t>
      </w:r>
    </w:p>
    <w:p>
      <w:r>
        <w:t>La greffière</w:t>
      </w:r>
    </w:p>
    <w:p>
      <w:r>
        <w:t>Nancy BISIN</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