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ATAS/933/2016 vom 14. November 2016</w:t>
      </w:r>
    </w:p>
    <w:p>
      <w:r>
        <w:t>GE Cour de justice, 2016-11-14, FR</w:t>
      </w:r>
    </w:p>
    <w:p>
      <w:r>
        <w:rPr>
          <w:b/>
        </w:rPr>
        <w:t xml:space="preserve">Quelle: </w:t>
      </w:r>
      <w:r>
        <w:t>https://mcp.opencaselaw.ch/entscheid/ge_gerichte_ATAS_933_2016</w:t>
      </w:r>
    </w:p>
    <w:p>
      <w:r>
        <w:t>FR: GE_GERICHTE ATAS/933/2016 du 14 novembre 2016</w:t>
      </w:r>
    </w:p>
    <w:p>
      <w:r>
        <w:t>IT: GE_GERICHTE ATAS/933/2016 del 14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6 octobre 2006 (5ème révision) et du 18 mars 2011 (révision 6a), entrées en vigueur le 1er janvier 2008, respectivement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le droit éventuel aux prestations doit être examiné en fonction des modifications de la LAI (révision 6a), entrées en vigueur le 1er janvier 2012 dans la mesure de leur pertinence (ATF 130 V 445 et les références; voir également ATF 130 V 329).</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des mesures médicales sous couvert de l’infirmité congénitale n°404 de l’OIC, en particulier à la prolongation de la prise en charge par l’intimé des mesures médicales et de la psychothérapie à partir du 1er novembre 2015.</w:t>
      </w:r>
    </w:p>
    <w:p>
      <w:r>
        <w:rPr>
          <w:b/>
        </w:rPr>
        <w:t>E. 6</w:t>
      </w:r>
    </w:p>
    <w:p>
      <w:r>
        <w:t>a) En vertu de l'art. 13 LAI,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w:t>
      </w:r>
    </w:p>
    <w:p>
      <w:r>
        <w:t>A/1539/2016 - 10/15 - peu importantes (al. 2). Faisant usage de cette délégation de compétence, le Conseil fédéral a édicté l’Ordonnance concernant les infirmités congénitales du 9 décembre 1985 (RS 831.232.21 ; OIC). Selon l’art. 3 al. 2 LPGA, est réputée infirmité congénitale toute maladie présente à la naissance accomplie de l’enfant. D’après l’OIC, sont réputées infirmités congénitales les infirmités présentes à la naissance accomplie de l'enfant. La simple prédisposition à une maladie n’est pas réputée infirmité congénitale. Le moment où une infirmité congénitale est reconnue comme telle n’est pas déterminant (art. 1 al. 1). Sont réputés mesures médicales nécessaires au traitement d’une infirmité congénitale tous les actes dont la science médicale a reconnu qu’ils sont indiqués et qu’ils tendent au but thérapeutique visé d’une manière simple et adéquate (art. 2 al. 3). Le chiffre 404 de l'annexe à l'OIC (dans sa version en vigueur depuis le 1er mars 2012)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Dans sa teneur en vigueur jusqu’au 29 février 2012, le chiffre 404 qualifiait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 syndrome dû à une lésion diffuse ou localisée du cerveau et syndrome psycho- organique congénital infantile). Le chiffre 404 de l'annexe à l'OIC et la pratique administrative concernant cette disposition sont conformes à la loi (ATF 122 V 113 consid. 1b). b) Le syndrome psycho-organique ne se retrouve ni dans la classification internationale des troubles mentaux et des troubles du comportement (CIM-10), ni dans le Manuel diagnostique et statistique des troubles mentaux publié par la Société américaine de psychiatrie, 4ème édition (DSM-IV), lesquels ne prévoient pas de diagnostic qui correspondrait exactement aux critères selon le chiffre 404 de l'annexe à l'OIC. Tant le syndrome psycho-organique que le trouble du déficit de l'attention avec hyperactivité (TDAH ou TDA/H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(arrêt du Tribunal fédéral 9C_435/2014 du 10 septembre 2014 consid. 4.2; arrêt du Tribunal fédéral 8C_300/2007 du 14 janvier 2008 consid. 3.3; arrêt du Tribunal fédéral des assurances I 572/03 du 15 mars 2004).</w:t>
      </w:r>
    </w:p>
    <w:p>
      <w:r>
        <w:t>A/1539/2016 - 11/15 - D’après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des contacts avec des groupes marginaux, une propension à la délinquance, à la consommation d’alcool et de stupéfiants (arrêt du Tribunal fédéral 9C_917/2011 du 28 mars 2012 consid. 3.2 et arrêt du Tribunal fédéral des assurances I 29/06 du 9 août 2007 consid. 6.1).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Au vu de la teneur de l’art. 2 al. 2 OIC, le traitement médical est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Michel VALTERIO, Droit de l’assurance-vieillesse et survivants [AVS] et de l’assurance-invalidité [AI], n° 1567).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207 consid. 3.3; arrêt du Tribunal fédéral des assurances I 283/04 du 15 avril 2005 consid. 3.2 et les références citées; arrêt du Tribunal fédéral des assurances I 355/01 du 12 octobre 2001 consid. 1). Pour cela, il doit exister entre l’infirmité congénitale et l’affection secondaire un lien très étroit de causalité adéquate. c) Selon la circulaire sur les mesures médicales, publiée par l’office fédéral des assurances sociales (ci-après : CMRM, valable depuis le 1er janvier 2015), les assurés ont droit aux mesures médicales au sens des art. 3 LPGA et 13 LAI dès que</w:t>
      </w:r>
    </w:p>
    <w:p>
      <w:r>
        <w:t>A/1539/2016 - 12/15 -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l’office 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(ch. 14). S’agissant de l’infirmité congénitale 404 OIC, il faut vérifier au plus tard au bout de deux ans si le traitement octroyé est adapté et efficace et s’il a des chances de succès. Il n’est possible et souhaitable de le prolonger que sur présentation d’un certificat établi par un médecin spécialiste confirmant clairement le succès et l’intérêt du traitement (ch. 404.11).</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A/1539/2016 - 13/15 -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w:t>
      </w:r>
    </w:p>
    <w:p>
      <w:r>
        <w:t>En l’espèce, l’intimé refuse la prolongation de la prise en charge de l’infirmité congénitale n°404 (contrôles médicaux et traitement médicamenteux) et du traitement de psychothérapie, initialement accordées par décisions des 1er et 20 octobre 2014 pour la période allant du 1er novembre 2013 au 31 octobre 2015, au motif que les conditions de prise en charge ne sont plus remplies. Pour parvenir à cette conclusion, il se fonde sur les avis des 17 février, 7 avril et 27 mai 2016 du Dr G_____ du SMR. Pour sa part, le recourant considère que son état de santé, qui s’est aggravé depuis les décisions des 1er et 20 octobre 2014 en raison d’un contexte familial difficile, entre dans le cadre de l’infirmité congénitale n°404 et que l’intimé devrait prolonger la prise en charge de ses traitements au-delà du 31 octobre 2015. L’intéressé s’appuie en particulier sur les rapports de la Dresse F_____. En l’occurrence, dans ses différents rapports, la Dresse F_____ a retenu les diagnostics d’autres troubles envahissants du développement (F84.8) et de perturbation de l’activité et de l’attention (F90.0). Les angoisses du recourant impliquaient des difficultés importantes d’attention. La maladie de sa mère pouvait entraîner la mort, ce qui avait provoqué une aggravation des angoisses et des difficultés qui en découlent. Les troubles présentés par le recourant permettaient de retenir l’existence de l’infirmité congénitale n°404. Sa situation familiale provoquait une décompensation transitoire grave des troubles perceptifs. La Dresse F_____ s’oppose à l’analyse du Dr G_____ en développant ses propres arguments, mais sa motivation ne permet pas de comprendre en quoi les conclusions de ce dernier seraient erronées, si tel est le cas. Quant au Dr G_____, il considère que le recourant n’est plus dans une situation d’infirmité congénitale n°404, mais présente une psychose aggravée par une situation familiale dramatique. Cela étant, force est de constater que les avis du Dr</w:t>
      </w:r>
    </w:p>
    <w:p>
      <w:r>
        <w:t>A/1539/2016 - 14/15 - G_____ sont entachés d’un défaut manifeste de motivation. En effet, ce médecin se contente de substituer sa propre appréciation à celle de la Dresse F_____, sans procéder à une analyse approfondie du cas et sans expliquer sa démarche. Compte tenu de ce qui précède, la chambre de céans dispose de pièces médicales contradictoires qui ne lui permettent pas de trancher le litige. D’ailleurs, dans son dernier avis, le Dr G_____ a lui-même relevé qu’une expertise avec examen neuropsychologique pouvait être effectuée si nécessaire, ce qui tend à démontrer que la situation du recourant n’est pas aussi claire que les Drs F_____ et G_____ semblent l’affirmer. Cela est également illustré par la teneur des questions adressées par le recourant à la Dresse F_____ dans son courrier du 26 juillet 2016. S’ajoute à cela que le diagnostic retenu dans la lettre de sortie des HUG du 9 mai 2016 ne correspond pas aux diagnostics retenus par les Drs F_____ et G_____. Par conséquent, il apparaît que l’instruction du dossier par l’OAI est lacunaire et que des mesures d’instruction complémentaires auraient dû être ordonnées par ses soins. La décision litigieuse doit donc être annulée et le dossier renvoyer à l’intimé pour instruction complémentaire et nouvelle décision.</w:t>
      </w:r>
    </w:p>
    <w:p>
      <w:r>
        <w:rPr>
          <w:b/>
        </w:rPr>
        <w:t>E. 9</w:t>
      </w:r>
    </w:p>
    <w:p>
      <w:r>
        <w:t>Au vu de ce qui précède, le recours sera partiellement admis. Le recourant obtenant gain de cause, une indemnité de CHF 1'000.- lui sera accordée à titre de participation à ses frais et dépens (art. 61 let. g LPGA ; art. 89 H LPA ; art. 6 du règlement sur les frais, émoluments et indemnités en procédure administrative du 30 juillet 1986 [RFPA - E 5 10.03]). Etant donné que, depuis le 1er juillet 2006, la procédure n'est plus gratuite (art. 69 al. 1bis LAI), au vu du sort du recours, il y a lieu de condamner l'intimé au paiement d'un émolument de CHF 500.-.</w:t>
      </w:r>
    </w:p>
    <w:p>
      <w:r>
        <w:t>A/1539/2016 - 15/15 -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