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ATAS/933/2012 vom 31. Juli 2012</w:t>
      </w:r>
    </w:p>
    <w:p>
      <w:r>
        <w:t>GE Cour de justice, 2012-07-31, FR</w:t>
      </w:r>
    </w:p>
    <w:p>
      <w:r>
        <w:rPr>
          <w:b/>
        </w:rPr>
        <w:t xml:space="preserve">Quelle: </w:t>
      </w:r>
      <w:r>
        <w:t>https://mcp.opencaselaw.ch/entscheid/ge_gerichte_ATAS_933_2012</w:t>
      </w:r>
    </w:p>
    <w:p>
      <w:r>
        <w:t>FR: GE_GERICHTE ATAS/933/2012 du 31 juillet 2012</w:t>
      </w:r>
    </w:p>
    <w:p>
      <w:r>
        <w:t>IT: GE_GERICHTE ATAS/933/2012 del 31 luglio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 et délai prévus par la loi, le recours est recevable (art. 5 et 60 LPGA ; art. 89B de la loi sur la procédure administrative du 12 septembre 1985 - LPA ; RS E 5 10).</w:t>
      </w:r>
    </w:p>
    <w:p>
      <w:r>
        <w:rPr>
          <w:b/>
        </w:rPr>
        <w:t>E. 3</w:t>
      </w:r>
    </w:p>
    <w:p>
      <w:r>
        <w:t>Le litige consiste à déterminer si l’intimé était fondé à prononcer une suspension du droit à l’indemnité de chômage du recourant pour une durée de cinq jours, en raison de recherches d’emploi nulles pour le mois de mai 2011.</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w:t>
      </w:r>
    </w:p>
    <w:p>
      <w:r>
        <w:t>A/3011/2011 - 4/6 - modifications de la LACI, l'alinéa 2bis a été abrogé, de sorte que si l'assuré ne remet pas ses recherches dans ce délai, l’office compétent ne lui impartit plus un délai raisonnable pour le faire.</w:t>
      </w:r>
    </w:p>
    <w:p>
      <w:r>
        <w:rPr>
          <w:b/>
        </w:rPr>
        <w:t>E. 5</w:t>
      </w:r>
    </w:p>
    <w:p>
      <w:r>
        <w:t>Selon l'art. 30 al. 3 LACI, la durée de la suspension est proportionnelle à la gravité de la faute. En vertu de l'art. 45 al. 3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ainsi que l’a jugé le Tribunal fédéral, cela ne signifie pas encore qu'une sanction identique doit s'imposer lorsque l'assuré ne fait aucune recherche d'emploi ou lorsqu'il produit ses recherches après le délai, surtout s'il s'agit d'un léger retard qui a lieu pour la première fois pendant la période de contrôle (cf. ATF du 14 juin 2012 8C_2/2012).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w:t>
      </w:r>
    </w:p>
    <w:p>
      <w:r>
        <w:t>A/3011/2011 - 5/6 -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7</w:t>
      </w:r>
    </w:p>
    <w:p>
      <w:r>
        <w:t>En l’espèce, le recourant - qui a la charge de la preuve - n’est pas parvenu à prouver qu’il avait bien déposé sa feuille de recherches d’emploi entre le 25 et le 27 mai à la réception de l’agence Salève, ainsi qu’il l’a allégué. Par conséquent, même si les différentes procédures appliquées par l’intimé pour la remise des formulaires dans ses locaux ne permettent pas d’exclure des dysfonctionnements (documents égarés ou mal classés), il n’est pas établi que le recourant a déposé le formulaire en temps utile, de sorte que l’intimé était fondé à prononcer une sanction. Cela étant, le recourant - qui n’a au demeurant pris connaissance de la décision de suspension qu’en date du 5 juillet 2011 lors de son entretien de conseil où sa conseillère l’a lui a remise en main propre - a immédiatement formé opposition et communiqué la copie de sa feuille de recherches d’emplois. Celle-ci comporte huit recherches d’emplois, dont sept effectuées par écrit. Pour le surplus, l’intimé a confirmé que depuis son inscription le 15 janvier 2010, c’est la première fois que le recourant fait l’objet d’une sanction.</w:t>
      </w:r>
    </w:p>
    <w:p>
      <w:r>
        <w:t>Au vu de ce qui précède et compte tenu des circonstances particulières du cas d’espèce, la Cour de céans considère que le recourant a commis une faute légère et que la suspension de cinq jours qui lui été infligée ne respecte pas le principe de proportionnalité. Il convient de s’écarter du barème du SECO et de réduire la sanction à un (1) jour de suspension, ce qui est conforme à l’art. 45 al. 3 OACI.</w:t>
      </w:r>
    </w:p>
    <w:p>
      <w:r>
        <w:rPr>
          <w:b/>
        </w:rPr>
        <w:t>E. 8</w:t>
      </w:r>
    </w:p>
    <w:p>
      <w:r>
        <w:t>Le recours est ainsi partiellement admis.</w:t>
      </w:r>
    </w:p>
    <w:p>
      <w:r>
        <w:t>A/3011/2011 - 6/6 -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