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ATAS/933/2010 vom 15. September 2010</w:t>
      </w:r>
    </w:p>
    <w:p>
      <w:r>
        <w:t>GE Cour de justice, 2010-09-15, FR</w:t>
      </w:r>
    </w:p>
    <w:p>
      <w:r>
        <w:rPr>
          <w:b/>
        </w:rPr>
        <w:t xml:space="preserve">Quelle: </w:t>
      </w:r>
      <w:r>
        <w:t>https://mcp.opencaselaw.ch/entscheid/ge_gerichte_ATAS_933_2010</w:t>
      </w:r>
    </w:p>
    <w:p>
      <w:r>
        <w:t>FR: GE_GERICHTE ATAS/933/2010 du 15 septembre 2010</w:t>
      </w:r>
    </w:p>
    <w:p>
      <w:r>
        <w:t>IT: GE_GERICHTE ATAS/933/2010 del 15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Les décisions sur opposition et celles contre lesquelles la voie de l’opposition n’est pas ouverte sont sujettes à recours dans le délai de 30 jours suivant leur notification (art. 56 al. 1 et 60 al. 1 LPGA). En l’espèce, la décision litigieuse a été reçue par la recourante en date du 8 mars 2010. Le délai de recours a commencé à courir le 9 mars 2010 et est parvenu à échéance le jeudi 22 avril 2010. En effet, selon l’art. 38 al. 4 LPGA applicable par analogie (cf. art. 60 al. 2 LPGA), les délais ne courent pas du septième jour avant Pâques au septième jour après Pâques inclusivement. Le recours, déposé le 7 avril 2010, a dès lors été interjeté en temps utile. Déposé par ailleurs en la forme requise, le recours est ainsi recevable (art. 89B loi sur la procédure administrative, du 12 septembre 1985 (LPA ; RS E 5 10)</w:t>
      </w:r>
    </w:p>
    <w:p>
      <w:r>
        <w:rPr>
          <w:b/>
        </w:rPr>
        <w:t>E. 4</w:t>
      </w:r>
    </w:p>
    <w:p>
      <w:r>
        <w:t>Le litige porte sur le droit éventuel de la recourante à des prestations de l'assurance- invalidité.</w:t>
      </w:r>
    </w:p>
    <w:p>
      <w:r>
        <w:rPr>
          <w:b/>
        </w:rPr>
        <w:t>E. 5</w:t>
      </w:r>
    </w:p>
    <w:p>
      <w:r>
        <w:t>Est réputée invalidité l'incapacité de gain totale ou partielle présumée permanente ou de longue durée et résultant d'une infirmité congénitale, d'une maladie ou d'un accident (art. 8 al. 1 LPGA et 4 al. 1 LAI). Quant à l'incapacité de gain, elle est définie à l'art. 7 LPGA comme la diminution de l'ensemble ou d'une partie des</w:t>
      </w:r>
    </w:p>
    <w:p>
      <w:r>
        <w:t>A/1175/2010 - 11/17 - possibilités de gain de l'assurée sur le marché du travail équilibré qui entre en considération,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RAI). L’art. 28 al. 2 LAI dispose que l’assuré a droit à une rente entière s’il est invalide à 70% au moins, à trois quarts de rente s’il est invalide à 60% au moins, à une demi- rente s’il est invalide à 50% au moins ou à un quart de rente s’il est invalide à 40% au moins.</w:t>
      </w:r>
    </w:p>
    <w:p>
      <w:r>
        <w:rPr>
          <w:b/>
        </w:rPr>
        <w:t>E. 6</w:t>
      </w:r>
    </w:p>
    <w:p>
      <w:r>
        <w:t>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w:t>
      </w:r>
    </w:p>
    <w:p>
      <w:r>
        <w:t>A/1175/2010 - 12/17 - pour quelles activités l'assuré est incapable de travailler. En outre, les données médicales constituent un élément utile pour déterminer quels travaux on peut encore, raisonnablement, exiger de l'assuré (ATF 115 V 134 consid. 2, 114 V 314 consid. 3c, 105 V 158 consid. 1 in fine).</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 RJJ 1995, p. 44 ; RCC 1988 p. 504 consid. 2).</w:t>
      </w:r>
    </w:p>
    <w:p>
      <w:r>
        <w:rPr>
          <w:b/>
        </w:rPr>
        <w:t>E. 8</w:t>
      </w:r>
    </w:p>
    <w:p>
      <w:r>
        <w:t>Comme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LPGA.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w:t>
      </w:r>
    </w:p>
    <w:p>
      <w:r>
        <w:t>A/1175/2010 - 13/17 -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(ATF non publié du 30 novembre 2004, I 50/04). En tout état, l’OAI ne saurait être lié par l’évaluation de l’invalidité faite par l’assureur-accidents (ATF non publié du 8 août 2008, 9C_751/2007).</w:t>
      </w:r>
    </w:p>
    <w:p>
      <w:r>
        <w:rPr>
          <w:b/>
        </w:rPr>
        <w:t>E. 9</w:t>
      </w:r>
    </w:p>
    <w:p>
      <w:r>
        <w:t>En l'espèce, une évaluation globale a été réalisée à la CRR le 17 août 2009 par les Drs V__________ et U__________, suite au séjour de la recourante à la CRR entre le 26 mai 2009 et le 24 juin 2009. Au terme de leur analyse, les médecins ont retenu qu'il était médicalement exigible que la recourante reprenne son activité professionnelle habituelle à 50%. Ils ne se sont toutefois pas prononcés explicitement sur sa capacité de travail exigible dans une activité adaptée, et ont simplement souligné que c'était une activité très contraignante pour le dos qui pouvait justifier une incapacité de travail de la recourante. Par décision du 2 septembre 2009, la SUVA a reconnu à la recourante une capacité de travail de 50% dans son activité professionnelle habituelle. Le 1er octobre 2009, le médecin d'arrondissement de la SUVA, le Dr R__________, a précisé que la capacité de travail était par contre de 100% dans une activité adaptée. Selon le Dr W__________, du SMR, la recourante présente dès le 25 juin 2009 une capacité de travail de 100% dans une activité adaptée et de 50% dans son activité habituelle. Le Dr P__________, médecin traitant de la recourante, l'a quant à lui reconnue en totale incapacité de travail du 25 mai 2009 au 30 novembre 2009.</w:t>
      </w:r>
    </w:p>
    <w:p>
      <w:r>
        <w:rPr>
          <w:b/>
        </w:rPr>
        <w:t>E. 10</w:t>
      </w:r>
    </w:p>
    <w:p>
      <w:r>
        <w:t>L'intimé a suivi les conclusions de son service médical et a retenu que la recourante disposait d'une capacité de travail de 100% dans une activité adaptée. Ce faisant, contrairement à ce qu'allègue la recourante, l'intimé ne s'est pas écarté sans raison valable et sans motivation de tous les avis médicaux pertinents lui reconnaissant une capacité de travail limitée. Au contraire, le médecin d'arrondissement de la SUVA a également estimé que la capacité de travail de la recourante est de 100% dans une activité adaptée. Cette appréciation va d'ailleurs dans le sens de l'évaluation globale des médecins de la CRR, aux termes de laquelle seule une activité très contraignante pour le dos peut justifier une incapacité de travail de la recourante.</w:t>
      </w:r>
    </w:p>
    <w:p>
      <w:r>
        <w:t>A/1175/2010 - 14/17 - Le Tribunal relève que tant les médecins de la CRR que le médecin d'arrondissement de la SUVA ont procédé à un examen complet et minutieux de l’état de santé de la recourante. Pour ce faire, les médecins se sont appuyés sur l’entier du dossier, notamment sur les rapports des médecins ayant examiné la patiente auparavant, de sorte qu’on ne peut que constater que leur rapport se base sur un dossier bien étayé. Une anamnèse complète a été réalisée et les deux rapports de plusieurs pages sont circonstanciés. L’état de santé de la recourante a fait l’objet d’examens approfondis, ses plaintes ont été prises en compte et les médecins ont procédé à une discussion et une appréciation du cas détaillée. Le médecin d'arrondissement de la SUVA est parvenu à des conclusions claires, à savoir que la capacité de travail de la recourante est de 100% dans une activité adaptée. Les médecins de la CRR ont quant à eux souligné que seule une activité très contraignante pour le dos peut justifier une incapacité de travail de la recourante. Le SMR s'est basé sur les appréciations précitées pour rendre son rapport. Ainsi qu'il l'a expliqué de manière convaincante, on peut retenir une capacité de travail de la recourante de 50% dans l'activité habituelle et entière dans une activité adaptée en se basant sur les éléments cliniques objectivés tant lors de l'examen final de la SUVA que pendant le séjour à la CRR et en retenant la présence des troubles dégénératifs du rachis. Les rapports médicaux établis par le Dr P__________ ne sont pas de nature à remettre en cause les conclusions claires des médecins de la SUVA et du SMR. A ce propos, il convient de rappeler que le médecin traitant est généralement enclin, en cas de doute, à prendre parti pour son patient en raison de la relation de confiance qui l’unit à ce dernier. Au vu de ce qui précède, le Tribunal de céans se rallie aux conclusions des médecins de la SUVA et du SMR et retient que la capacité de travail de la recourante est entière dans une activité adaptée à ses limitations fonctionnelles, ce dès le 24 juin 2009, date de sa sortie de la clinique de réadaptation.</w:t>
      </w:r>
    </w:p>
    <w:p>
      <w:r>
        <w:rPr>
          <w:b/>
        </w:rPr>
        <w:t>E. 11</w:t>
      </w:r>
    </w:p>
    <w:p>
      <w:r>
        <w:t>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w:t>
      </w:r>
    </w:p>
    <w:p>
      <w:r>
        <w:t>A/1175/2010 - 15/17 - et la décision elle-même), doivent être prises en compte (cf. ATF 129 V 222 consid. 4.1, 128 V 174).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Le revenu d’invalide doit pour sa part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Tribunal fédéral admet la référence au groupe des tableaux « A » de l’Enquête suisse sur la structure des salaires (ESS), correspondant aux salaires bruts standardisés, pour déterminer le revenu qu’on peut raisonnablement exiger d’un invalide en dépit de son atteinte à la santé lorsqu’aucun revenu effectif n’est réalisé (cf. ATF 124 V 321). Il convient en outre de toujours se rapporter à la valeur médiane.</w:t>
      </w:r>
    </w:p>
    <w:p>
      <w:r>
        <w:rPr>
          <w:b/>
        </w:rPr>
        <w:t>E. 12</w:t>
      </w:r>
    </w:p>
    <w:p>
      <w:r>
        <w:t>En l'espèce, la recourante, en incapacité de travail dès le 4 juillet 2008, a déposé une demande de prestations de l'assurance-invalidité en date du 27 février 2009, de sorte que son éventuel droit à la rente est né le 27 août 2009 (art. 29 al. 1 LAI). Pour procéder à la comparaison des revenus, c'est donc l'année 2009 qui est déterminante, les revenus avec et sans invalidité devant être déterminés par rapport à cette même année. En ce qui concerne tout d'abord le revenu sans invalidité de la recourante, il résulte des pièces du dossier qu’elle aurait perçu en 2009 un revenu annuel total de 67'295 fr, correspondant à son revenu d'employée de X__________ de 60'704 fr [57'850 (4'450 x 13) + indemnité de poste de 1'924 + prime de résultat de 930 fr.] et à son revenu de concierge de 6'591 fr (507 fr. x 13) Pour déterminer ensuite le revenu d'invalide de la recourante, il convient en l'absence d'un revenu effectivement réalisé de se référer aux données salariales,</w:t>
      </w:r>
    </w:p>
    <w:p>
      <w:r>
        <w:t>A/1175/2010 - 16/17 - telles qu'elles résultent des enquêtes sur la structure des salaires publiées par l'Office fédéral de la statistique (ATF 126 V 75 consid. 3b/aa et bb p. 76). Compte tenu de l'activité de substitution que pourrait exercer l'assurée dans une activité légère et adaptée de type industriel, le salaire de référence est celui auquel peuvent prétendre les femmes effectuant des activités simples et répétitives (niveau de qualification 4) dans le secteur privé, soit en 2008, 4'116 fr par mois ou 49'392 fr annuellement (Enquête suisse sur la structure des salaires 2008, p. 11, TA1). Comme les salaires bruts standardisés tiennent compte d'un horaire de travail de quarante heures, soit une durée hebdomadaire inférieure à la moyenne usuelle dans les entreprises en 2009 (41,7 heures; la Vie économique, 7/8-2010, p. 90, B 9.2), ce montant doit être porté à 51'491 fr. Après adaptation de ce chiffre à l'évolution des salaires selon l'indice des salaires nominaux de l'année 2009 (+ 2,1%; la Vie économique, 7/8-2010, p. 91, B 10.2), on obtient un revenu annuel de 52'572 fr. Conformément à la jurisprudence, il convient encore d'appliquer un facteur de réduction sur le salaire statistique qui tient compte de l'ensemble des circonstances personnelles et professionnelles du cas particulier (ATF 126 V 75 consid. 5 p. 78). Ainsi que les parties l'ont retenu à juste titre, une réduction supplémentaire de 15% doit être accordée compte tenu de l'âge et des années de service de la recourante. Son revenu avec invalidité s'élève donc de 44'687 fr. Il résulte de ce qui précède que la perte de gain de la recourante s'élève à 22'608 fr, correspondant à un degré d'invalidité de 33,5 %. Dans la mesure où un degré d'invalidité inférieur à 40% ne donne pas droit à une rente d'invalidité (cf art. 28 al. 1 et 2 LAI), la recourante n'a pas droit à des prestations de l'assurance-invalidité.</w:t>
      </w:r>
    </w:p>
    <w:p>
      <w:r>
        <w:rPr>
          <w:b/>
        </w:rPr>
        <w:t>E. 13</w:t>
      </w:r>
    </w:p>
    <w:p>
      <w:r>
        <w:t>Le recours, mal fondé, sera dès lors rejeté.</w:t>
      </w:r>
    </w:p>
    <w:p>
      <w:r>
        <w:rPr>
          <w:b/>
        </w:rPr>
        <w:t>E. 14</w:t>
      </w:r>
    </w:p>
    <w:p>
      <w:r>
        <w:t>L'émolument, fixé à 200 fr, est mis à la charge de la recourante, qui succombe (art. 69 al. 1bis LAI).</w:t>
      </w:r>
    </w:p>
    <w:p>
      <w:r>
        <w:t>A/1175/2010 - 17/17 -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