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ATAS/933/2009 vom 9. Juli 2009</w:t>
      </w:r>
    </w:p>
    <w:p>
      <w:r>
        <w:t>GE Cour de justice, 2009-07-09, FR</w:t>
      </w:r>
    </w:p>
    <w:p>
      <w:r>
        <w:rPr>
          <w:b/>
        </w:rPr>
        <w:t xml:space="preserve">Quelle: </w:t>
      </w:r>
      <w:r>
        <w:t>https://mcp.opencaselaw.ch/entscheid/ge_gerichte_ATAS_933_2009</w:t>
      </w:r>
    </w:p>
    <w:p>
      <w:r>
        <w:t>FR: GE_GERICHTE ATAS/933/2009 du 9 juillet 2009</w:t>
      </w:r>
    </w:p>
    <w:p>
      <w:r>
        <w:t>IT: GE_GERICHTE ATAS/933/2009 del 9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Selon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Selon l'al. 3 let.</w:t>
      </w:r>
    </w:p>
    <w:p>
      <w:r>
        <w:t>A/3844/2008 - 11/18 - b de cette disposition, les mesures d'ordre professionnel (orientation professionnelle, formation professionnelle initiale, reclassement professionnel, service de placement) sont au nombre des mesures de réadaptation. Aux termes de l'art. 10, 1ère phrase LAI, les assurés ont droit aux mesures de réadaptation dès qu'elles sont indiquées en raison de leur âge et de leur état de santé. L'assuré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(Revue à l'attention des caisses de compensation [RCC] 1984 p. 95; VSI 200 p. 63). La rééducation dans la même profession est assimilée au reclassement (art. 17 al. 2 LAI). Selon l'art. 16 LPGA, la réadaptation est prioritaire par rapport à l'octroi de la rente, laquelle est versée dans la mesure où la réadaptation a échoué (cf. ATF 126 V 241 consid. 5, ATF 108 V 210 consid. 1d). En règle générale, l'assuré a droit aux mesures nécessaires appropriées au but de sa réadaptation, mais non aux meilleures mesures possibles dans les circonstances de son cas car la loi ne veut garantir la réadaptation que dans la mesure où elle est nécessaire mais aussi suffisante dans le cas d'espèce (ATF 124 V 108 consid 2b, VSI 2000 p. 26; VSI 2002 p. 109). Est généralement équivalente la profession exercée jusque là et non pas une formation professionnelle nettement supérieure ou qui dépasse les exigences moyennes (RCC 1988, p. 266 et p. 497; VALTÉRIO, op. cit.). Comme toutes les mesures de réadaptation, les mesures de reclassement doivent être adéquates et il doit exister une proportion raisonnable entre les frais qu'elle entraîne et le résultat qu'on peut en attendre (RCC 1992, p. 388; ATF 110 V 99 consid. 2, RCC 1984 p. 287; ATF 103 V 16, RCC 1977, p. 345; JEAN-LUC DUC, Les assurances sociales en Suisse, Lausanne 1995, n° 603). Un reclassement n'est pas nécessité par l'invalidité notamment lorsque l'assuré est suffisamment réadapté et qu'il est possible qu'il prenne un emploi correspondant à ses aptitudes, sans formation supplémentaire (RCC 1963, p. 127) (ATAF du 7 mai 2009, C_5427/2007, consid. 5.2). Un assuré est considéré comme étant suffisamment réadapté si, après exécution d’un reclassement, le gain qu’il peut obtenir équivaut au revenu qu’il percevait avant la survenance de l’invalidité. Il y a lieu, dans ce cas, de tenir compte de l’évolution des salaires. Par exemple, un maçon qualifié que l’AI a reclassé dans la</w:t>
      </w:r>
    </w:p>
    <w:p>
      <w:r>
        <w:t>A/3844/2008 - 12/18 - profession de dessinateur en génie civil n’a, par conséquent, pas droit à des mesures de réadaptation supplémentaires s’il est établi que la perte de salaire qu’il subit en entamant sa nouvelle activité est temporaire et sera compensée par les substantielles augmentations de salaires qui, comme le prouvent les statistiques, interviennent au cours des premières années d’exercice de la profession de dessinateur en génie civil (VSI 2000. p. 29).</w:t>
      </w:r>
    </w:p>
    <w:p>
      <w:r>
        <w:rPr>
          <w:b/>
        </w:rPr>
        <w:t>E. 3</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sv. consid. 3.2 et 3.3). Aussi n'existe-t-il pas, en droit des assurances sociales, un principe selon lequel l'administration ou le juge devrait statuer, dans le doute, en faveur de l'assuré (ATF 126 V 322 consid. 5a).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w:t>
      </w:r>
    </w:p>
    <w:p>
      <w:r>
        <w:rPr>
          <w:b/>
        </w:rPr>
        <w:t>E. 4</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t>A/3844/2008 - 13/18 -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5</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w:t>
      </w:r>
    </w:p>
    <w:p>
      <w:r>
        <w:t>A/3844/2008 - 14/18 -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(ci-après : OFS).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 sous réserve d'une diminution du rendement de l'assuré dans les activités raisonnablement exigibles de sa part (ATF 126 V 76 sv. consid. 3b/bb, 78 ss consid. 5).</w:t>
      </w:r>
    </w:p>
    <w:p>
      <w:r>
        <w:rPr>
          <w:b/>
        </w:rPr>
        <w:t>E. 6</w:t>
      </w:r>
    </w:p>
    <w:p>
      <w:r>
        <w:t>En l’espèce, le recourant fait valoir que le métier de programmeur-régleur CNC est médicalement inadapté, dès lors qu’il se pratique debout (compte tenu en particulier de la forme et de la dimension des machines), par des stations prolongées et statiques ; en outre, la saisie sur l’ordinateur se fait avec les bras tendus vers</w:t>
      </w:r>
    </w:p>
    <w:p>
      <w:r>
        <w:t>A/3844/2008 - 15/18 - l’avant, alors que la seule position de travail adaptée à ses limitations fonctionnelles est la position assise avec les avant-bras appuyés sur une table, afin de décharger le bas du corps. A l’appui de ses affirmations, il a produit en particulier un rapport du Dr C__________, de la consultation ambulatoire de rhumatologie des H.U.G., du 21 décembre 2005, selon lequel le patient ne pouvait exercer une activité en position debout, ainsi qu’un rapport et un certificat de la Dresse D__________ des 20 février 2006 et 11 septembre 2008, proscrivant la position en station debout prolongée. Le recourant s’est également prévalu d’un courrier du Dr E__________, du service de rhumatologie des H.U.G., du 10 septembre 2008, selon lequel les différentes évaluations réalisées dans son service avaient mis en évidence qu’une position debout statique était « difficilement supportable » par le patient et que la position assise devant la table d’horloger était « mieux supportée que la position assise devant l’ordinateur », comme l’avait montré le bilan effectué du 11 au 28 janvier 2008 en ergothérapie préprofessionnelle. D’un autre côté, l’OCAI soutient que l’activité de programmeur-régleur sur machines CNC est « totalement adaptée aux limitations fonctionnelles de l‘assuré », dans la mesure où il n’y avait pas de port de charges, ni de position statique et qu’il y avait suffisamment d’alternance de position. En l’état, force est constater que le dossier ne permet pas de retenir, au degré de la vraisemblance prépondérante requis en matière d’assurance sociale (ATF 126 V 360, consid. 5b), que le but de la réadaptation est atteint en l’occurrence, singulièrement que l’assuré est effectivement apte à exercer, à 100% (et sans diminution de rendement), une activité de programmeur-régleur sur machine CNC. En effet, il apparaît que l’OCAI a fondé uniquement sa position sur le descriptif, plus précisément sur les objectifs, du cours de programmeur-régleur sur machine CNC à l’IFAGE, ce qui est manifestement insuffisant pour pouvoir se déterminer, concrètement, sur les incidences de l’atteinte à la santé sur les capacités de travail de l’assuré dans l’exercice effectif de l’activité en cause. En particulier, on ignore dans quelle mesure le métier de programmeur-régleur sur machine CNC, dont l’office intimé n’a pas contesté, à juste titre, qu’il s’exerçait principalement en position debout, permettrait une alternance des positions, respectivement l’aménagement de pauses nécessaires à la récupération physique d’un assuré occupé, par ailleurs, à plein temps. En outre, ni cet office, ni le SMR, ne se sont exprimés sur les conclusions du Dr E__________, selon lesquelles la position debout statique était « difficilement supportable » par le patient, comme l’avait montré le bilan effectué du 11 au 28 janvier 2008 en ergothérapie pré- professionnelle. On observera par ailleurs que, dans son avis du 23 février 2006 (soit plus de 18 mois avant que l’intéressé ne débute la formation de programmeur- régleur sur machine CNC, en septembre 2007), le SMR s’est borné à estimer que l’assuré disposait d’une capacité de travail entière, sans diminution de rendement,</w:t>
      </w:r>
    </w:p>
    <w:p>
      <w:r>
        <w:t>A/3844/2008 - 16/18 - « dans une activité adaptée », sans préciser toutefois les limitations fonctionnelles de l’assuré, ni le genre d’activité concrète qui restait exigible de la part de ce dernier, ni, le cas échéant, la diminution du rendement qu'il pourrait subir dans un emploi adapté en raison de ses problèmes de santé. Par surabondance, on relèvera que le recourant a expliqué, de manière plausible, et sans d’ailleurs être contredit par l’office intimé, avoir uniquement (pour-)suivi la formation de programmeur-régleur sur machine CNC dans l’attente que l’OCAI lui trouve un institut lui permettant de compléter sa formation d’horloger. Et s’il avait néanmoins suivi, en dépit de son état de sa santé, la formation de programmeur- régleur sur machine CNC, d’octobre 2007 à juin 2008, c’était parce que les cours étaient dispensés deux après-midis par semaine seulement, ce qui lui permettait de récupérer dans l’intervalle, et aussi grâce aux traitements pharmacologiques qui lui avaient permis de supporter ses douleurs. D’autre part, il ne ressort pas clairement des avis médicaux produits (et sollicités) par le recourant que ce dernier ne pourrait absolument pas travailler (à plein temps ou à temps partiel), en station debout, même en alternant cette position. En particulier, les médecins consultés ne motivent pas leur avis à cet égard, le Dr E__________ se limitant par ailleurs à relever qu’une position debout statique était « difficilement supportable », sans autre précision (courrier du 10 septembre 2008). Ils n’expliquent pas non plus pourquoi la seule position de travail adaptée aux limitations de l’assuré serait la position assise avec les avant-bras appuyés sur une table, ni en quoi la position assise devant l’ordinateur serait moins bien supportée que la position assise devant la table d’horloger. Dans ces conditions, il se justifie de renvoyer le dossier à l’OCAI afin qu’il fasse procéder à une évaluation précise des capacités fonctionnelles (ECF) de l’assuré, soit auprès d’un Centre d’observation professionnelle de l’AI (COPAI), doté d’un médecin-conseil, soit auprès d’une institution agréée, au sens où l’entend la Circulaire de l’Office fédéral des assurances sociales sur la procédure dans l’assurance invalidité, édition 2008 (CPAI). Il s’agit d’institutions désignées par le Groupe suisse de travail pour la réadaptation (GSR), dirigées par des médecins, qui procèdent à l’évaluation des capacités fonctionnelles relativement à l’exercice d’un travail. Cette évaluation comprend un contrôle ergonomique exhaustif, médicalement assisté, fait au moyen d’un test standardisé. Elle donne des capacités fonctionnelles effectives de la personne assurée une image souvent tout aussi fiable qu’un examen de plus longue durée dans un COPAI (CPAI, numéro 6002). Le cas échéant, il incombera à l'administration d’examiner les autres mesures d’ordre professionnel qui pourraient entrer en considération.</w:t>
      </w:r>
    </w:p>
    <w:p>
      <w:r>
        <w:rPr>
          <w:b/>
        </w:rPr>
        <w:t>E. 7</w:t>
      </w:r>
    </w:p>
    <w:p>
      <w:r>
        <w:t>Par ailleurs, dans le cadre de la comparaison des revenus (art. 16 LPGA), l’office intimé devra tenir compte du salaire sans invalidité, tel qu’il résulte de la</w:t>
      </w:r>
    </w:p>
    <w:p>
      <w:r>
        <w:t>A/3844/2008 - 17/18 - convention collective dans le secteur du bâtiment/gros œuvre, dès lors que les rapports de travail étaient (obligatoirement) soumis aux dispositions conventionnelles lors de la survenance de l’incapacité du salarié (respectivement au moment de la décision litigieuse). De plus, comme l’a pertinemment relevé le recourant, le revenu sans invalidité pris en compte par l’OCAI en l’occurrence est fondé sur les seules données contenues dans le questionnaire de l’employeur du 2 décembre 2005, lesquelles ne correspondent toutefois qu’au salaire versé par X__________ SA lorsque l’assuré ne subissait pas d’empêchement de travailler, et ne reflètent donc pas le salaire conventionnel. En effet, conformément à la pratique adoptée par les partenaires sociaux en la matière (pratique dont la réalité n’est du reste pas contestée par l’OCAI), ces données n’englobent pas les indemnités journalières versées par l’assurance collective perte de gain de l’employeur durant les incapacités de travail de l’assuré, ni non plus les indemnités de vacances (environ 10% du salaire, selon l’art. 34 al. 1 CCNT ou art. 31 de la CCT genevoise) qui font l’objet d’un versement effectué directement par la Caisse de compensation du bâtiment (cf. attestations annuelles de X__________ SA pour 2001 à 2004, versées sous pièce 6 du chargé du recourant).</w:t>
      </w:r>
    </w:p>
    <w:p>
      <w:r>
        <w:rPr>
          <w:b/>
        </w:rPr>
        <w:t>E. 8</w:t>
      </w:r>
    </w:p>
    <w:p>
      <w:r>
        <w:t>Le recours étant partiellement admis, le recourant, représenté par un avocat, a droit à l’allocation de dépens, fixés en l'espèce à 2'500 fr. (art. 61 let. g LPGA).</w:t>
      </w:r>
    </w:p>
    <w:p>
      <w:r>
        <w:rPr>
          <w:b/>
        </w:rPr>
        <w:t>E. 9</w:t>
      </w:r>
    </w:p>
    <w:p>
      <w:r>
        <w:t>Conformément à l'art. 69 al. 1bis LAI, un émolument de 500 fr. est mis à la charge de l'intimé, qui succombe.</w:t>
      </w:r>
    </w:p>
    <w:p>
      <w:r>
        <w:t>A/3844/2008 - 18/18 -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