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ATAS/932/2016 vom 14. November 2016</w:t>
      </w:r>
    </w:p>
    <w:p>
      <w:r>
        <w:t>GE Cour de justice, 2016-11-14, FR</w:t>
      </w:r>
    </w:p>
    <w:p>
      <w:r>
        <w:rPr>
          <w:b/>
        </w:rPr>
        <w:t xml:space="preserve">Quelle: </w:t>
      </w:r>
      <w:r>
        <w:t>https://mcp.opencaselaw.ch/entscheid/ge_gerichte_ATAS_932_2016</w:t>
      </w:r>
    </w:p>
    <w:p>
      <w:r>
        <w:t>FR: GE_GERICHTE ATAS/932/2016 du 14 novembre 2016</w:t>
      </w:r>
    </w:p>
    <w:p>
      <w:r>
        <w:t>IT: GE_GERICHTE ATAS/932/2016 del 14 novembre 2016</w:t>
      </w:r>
    </w:p>
    <w:p>
      <w:pPr>
        <w:pStyle w:val="Heading2"/>
      </w:pPr>
      <w:r>
        <w:t>Erwägungen</w:t>
      </w:r>
    </w:p>
    <w:p>
      <w:r>
        <w:rPr>
          <w:b/>
        </w:rPr>
        <w:t>E. 20</w:t>
      </w:r>
    </w:p>
    <w:p>
      <w:r>
        <w:t>novembre 2013. 42. Le projet de décision précité a été confirmé par l’OAI par décision du 8 avril 2016, dans laquelle cet office a notamment relevé que l’expertise pluridisciplinaire n’avait pas eu lieu dès lors que le SMR avait pu statuer sur la base des éléments versés au dossier et notamment du rapport d’expertise du 21 septembre 2012. 43. Toujours sous la plume de son conseil, l’assurée (ci-après : la recourante) a interjeté recours en date du 4 mai 2016, concluant principalement à l’annulation de la décision querellée et à l’octroi d’une rente entière d’invalidité du 1er septembre 2012 au 30 septembre 2013, une demi-rente d’invalidité du 1er octobre 2013 au 29 février 2014 et un quart de rente dès le 1er avril 2014 et, subsidiairement au renvoi de la cause à l’OAI pour mise en place d’une expertise médicale actualisée. A l’appui de ses conclusions, elle a repris les mêmes arguments que ceux évoqués dans son opposition, les étayant pour le surplus avec un rapport établi par le Dr D______ en date du 22 avril 2016. Selon le Dr D______, la recourante avait dans un premier temps souffert de douleurs à l’épaule gauche, lesquelles étaient entretenues par l’activité professionnelle. Le diagnostic alors posé était celui de conflit sous-acromial</w:t>
      </w:r>
    </w:p>
    <w:p>
      <w:r>
        <w:t>A/1434/2016 - 12/29 - chronique avec tendinopathie du sus-épineux de l’épaule gauche. Cette atteinte avait nécessité une intervention chirurgicale (arthroscopie, puis bursoscopie, bursectomie et acromioplastie antérieure de l’épaule gauche) réalisée le 13 décembre 2012. De manière concomitante, la recourante avait souffert de douleurs cervico-brachiales gauches, lesquelles se recoupaient partiellement avec les douleurs de l’épaule. Les investigations menées avaient toutefois démontré qu’elles étaient en lien avec une hernie cervicale C3-C4 gauche, provoquant des douleurs cervicales et une irritation de la racine C4 gauche. Cette atteinte avait, quant à elle, nécessité une intervention chirurgicale le 7 mai 2013 sous la forme d’une discectomie et herniotomie C3-C4 par voie antérieure et l’implantation d’une cage verrouillée. Dans son rapport d’expertise du 6 septembre 2012, la Dresse F______ proposait de procéder à une deuxième infiltration et attribuait les cervicalgies chroniques à un syndrome douloureux chronique (ou fibromyalgie). Or, elle s’était trompée. Par ailleurs, à partir de juillet 2013, la recourante avait développé des polyarthralgies, ayant nécessité un bilan biologique complet ayant exclu des signes de maladie inflammatoire du type polyarthrite rhumatoïde ou autre. En outre, plusieurs trigger points de fibromyalgie avaient été constatés. Le 9 juillet 2014, la recourante avait été victime d’un accident sans gravité ayant entraîné une petite entorse cervicale. Depuis lors, elle se plaignait de douleurs et paresthésie dans les mains. L’ENMG effectué le 8 juillet 2014 avait montré des signes irritatifs aux deux nerfs médians. Les douleurs de l’épaule avaient toutefois disparu. Lors de la rédaction du rapport, la recourante évoquait encore les atteintes suivantes : douleurs cervicales persistantes, irradiant vers les muscles trapèzes plutôt à droite, engourdissements imprévisibles des mains et parfois des bras et des jambes, douleurs et raideurs matinales des doigts et parfois des orteils et difficultés à marcher après les stations assises prolongées en raison de douleurs plantaires. Cliniquement, le Dr D______ avait également retrouvé plusieurs points de fibromyalgie. Dans ces circonstances, le médecin précité était d’avis que la recourante ne pouvait pas exercer son activité de pédicure à un taux plus important que 60%. 44. Pour sa part, l’OAI (ci-après : l’intimé) a répondu en date du 1er juillet 2016 et a conclu au rejet du recours et à la confirmation de la décision attaquée, considérant que les pièces rassemblées après l’expertise effectuée par le CEMED en date du 6 septembre 2012, confirmaient une évolution favorable de l’état de santé de la recourante de sorte qu’il n’était pas nécessaire de mettre en place une nouvelle expertise. Etant donné que la recourante avait pu reprendre progressivement son activité habituelle, la mise en valeur d’une capacité de travail entière dans une activité adaptée était objectivement exigible. Par ailleurs, l’OAI avait soumis le rapport du Dr D______ du 22 avril 2015 à son SMR, dont l’avis du 30 juin 2016</w:t>
      </w:r>
    </w:p>
    <w:p>
      <w:r>
        <w:t>A/1434/2016 - 13/29 - était joint à l’écriture, qui ne comprenait pas ce qui pouvait empêcher la recourante d’exercer une activité adaptée à 60%, dès lors qu’elle avait repris son activité habituelle à 100%. 45. La réponse de l’OAI et l’avis du SMR ont été transmis à la recourante et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droit de la recourante à une rente d’invalidité au-delà du 1er juillet 2013, singulièrement sur la valeur probante du rapport du CEMEd du 6 septembre 2012 et sur le degré d’invalidité.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w:t>
      </w:r>
    </w:p>
    <w:p>
      <w:r>
        <w:t>A/1434/2016 - 14/29 -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pourcents entre ces deux valeurs (ATF 104 V 136 consid. 2a; RCC 1992 p. 136 consid. 1b). La part des travaux habituels constitue le reste du pourcentage (ATF 130 V 393 consid. 3.3 et ATF 104 V 136 consid. 2a). 5. En premier lieu, la recourante conteste l’appréciation de sa capacité de travail par le CEMED et les médecins du SMR et, dans ce contexte, la valeur probante de leur rapport. Se fondant sur l’avis du SMR du 20 novembre 2013, elle conclut à la réalisation d’une expertise pluridisciplinaire.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A/1434/2016 - 15/29 -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w:t>
      </w:r>
    </w:p>
    <w:p>
      <w:r>
        <w:t>A/1434/2016 - 16/29 -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w:t>
      </w:r>
    </w:p>
    <w:p>
      <w:r>
        <w:t>A/1434/2016 - 17/29 - b.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MARC HÜRZELER, Prävention im Haftpflicht- und Sozialversicherungsrecht, in Prävention im Recht, 2007, p. 172 et ss).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(RCC 1983 p. 246; voir également arrêt du Tribunal fédéral 8C_748/2008 du 10 juin 2009 consid. 4).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A/1434/2016 - 18/29 -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 8. En l’espèce, l’OAI s’est fondé sur les conclusions de l’expertise du CEMED du</w:t>
      </w:r>
    </w:p>
    <w:p>
      <w:r>
        <w:rPr>
          <w:b/>
        </w:rPr>
        <w:t>E. 21</w:t>
      </w:r>
    </w:p>
    <w:p>
      <w:r>
        <w:t>septembre 2012 et sur celles de son SMR du 25 juin 2015 pour mettre un terme au versement de la rente avec effet au 30 juin 2013. Il y a donc lieu d’examiner la valeur probante de ces documents. a. Si le rapport du 21 septembre 2012 de la Dresse F______ répond à de nombreux réquisits jurisprudentiels, ses conclusions ne sauraient être suivies pour les motifs suivants. En premier lieu, dans le rapport précité, l’experte mandatée par l’assureur perte de gain a préconisé la réalisation d’une deuxième infiltration au niveau de l’épaule gauche et a considéré qu’une activité professionnelle devait pouvoir être reprise trois à quatre semaines plus tard, à 25% dans un premier temps pour être augmentée progressivement jusqu’à un taux de 100% dans un délai de trois mois après ladite infiltration. Or, force est de constater que la deuxième infiltration au niveau de l’épaule gauche n’a jamais été effectuée. En lieu et place, la recourante a été opérée du conflit sous-acromial en date du 13 décembre 2012, bénéficiant plus particulièrement d’une arthroscopie suivie d’une bursoscopie, bursectomie et acromioplastie antérieure. En second lieu, la Dresse F______ était également d’avis que les douleurs au niveau cervical étaient en lien avec un syndrome douloureux chronique. Or, le 7 mai 2013, l’assurée a subi une intervention chirurgicale au niveau des cervicales, sous la forme d’une discectomie et herniectomie gauche C3-C4 par voie antérieure, avec implantation d’une cage verrouillée. Cette intervention a très largement contribué à améliorer les douleurs cervicales. Suite à ces interventions, la recourante a pu reprendre son activité habituelle de pédicure à 25% dès le 1er juillet 2013 et à 50% dès le 7 octobre 2013.</w:t>
      </w:r>
    </w:p>
    <w:p>
      <w:r>
        <w:t>A/1434/2016 - 19/29 - Ainsi, dans la mesure où les conclusions de la Dresse F______ se fondent sur des projections qui ne se sont pas réalisées (la réalisation d’une deuxième infiltration et lien entre le syndrome douloureux chronique et l’atteinte cervicale), elles ne sauraient être prises en considération. Le SMR est au demeurant du même avis dès lors que le 20 novembre 2013, il a suggéré la réalisation d’une expertise pluridisciplinaire (médecine interne, rhumatologie, psychiatrie et éventuellement neurochirurgie). Il est à noter que cet avis a été établi alors même que la recourante avait déjà repris son activité lucrative. En d’autres termes, en novembre 2013, le SMR considérait qu’au vu de l’évolution de l’état de santé de la recourante, il ne lui était pas possible de se prononcer sur sa capacité de travail sur la base des conclusions de la seule expertise du 6 septembre 2012 et qu’une expertise pluridisciplinaire devait être réalisée. b. L’OAI se fonde également sur le bref avis du 25 juin 2015 du SMR, dans lequel ce dernier a considéré, en se fondant sur l’expertise du 6 septembre 2012, que la recourante pouvait exercer une activité adaptée à 100% depuis la reprise de son activité habituelle à 25% le 1er juillet 2013. Force est de constater que ledit rapport se fonde sur l’expertise du 6 septembre 2012, à laquelle la chambre de céans a dénié toute valeur probante. En outre, il pose des conclusions nouvelles (capacité de travail entière dès le 1er juillet 2013) sans examen de la recourante ni explications circonstanciées. Certes, une capacité de travail entière dans une activité adaptée aux limitations fonctionnelles peut paraître plausible dans la mesure où la recourante a repris son activité habituelle, laquelle est physiquement plus exigeante. Cependant, il ne peut être exclu qu’en raison de l’intervention du 7 mai 2013, seule une reprise progressive ait été exigible et ce même dans une activité lucrative adaptée aux limitations fonctionnelles. Les conclusions du SMR ne sauraient par conséquent pas non plus être suivies. c. Dans ces conditions, l’OAI ne pouvait retenir une pleine capacité de travail dans une activité adaptée depuis le 1er juillet 2013, aucun des documents sur lesquels il s’est fondé ne prenant en considération l’évolution de l’état de santé de la recourante à compter du mois de décembre 2012. La décision querellée doit donc être annulée pour ce motif déjà. En temps normal, la chambre de céans aurait renvoyé la cause à l’OAI pour instruction complémentaire sous la forme d’une expertise pluridisciplinaire telle que suggérée par le SMR dans son avis du 20 novembre 2013. Cela n’a cependant un intérêt que si l’on peut exiger de la recourante que, conformément à son obligation de diminuer le dommage, elle mette fin à son activité indépendante au profit d'une activité salariée plus lucrative. Concrètement, avant de se prononcer sur l’opportunité d’une instruction complémentaire, il convient de déterminer si un changement de profession aurait pour conséquence une diminution des prestations dues par l’assurance-invalidité. Cela revient ainsi à établir, dans un premier temps, le degré d’invalidité en prenant en considération l’activité habituelle uniquement.</w:t>
      </w:r>
    </w:p>
    <w:p>
      <w:r>
        <w:t>A/1434/2016 - 20/29 - 9.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art. 28 al. 2 LAI en corrélation avec l'art. 16 LPGA; depuis le 1er janvier 2008: art. 28a al. 1 LAI en corrélation avec l'art. 16 LPGA). La</w:t>
      </w:r>
    </w:p>
    <w:p>
      <w:r>
        <w:t>A/1434/2016 - 21/29 - comparaison des revenus s'effectue, en règle générale, en chiffrant aussi exactement que possible les montants de ces deux revenus et en les confrontant l'un avec l'autre, la différence permettant de calculer le taux d'invalidité. A noter toutefois que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 b/cc. 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w:t>
      </w:r>
    </w:p>
    <w:p>
      <w:r>
        <w:t>A/1434/2016 - 22/29 - le principe légal selon lequel l'invalidité, pour cette catégorie d'assurés, doit être déterminée d'après l'incapacité de gain (ATF 128 V 29 consid. 1 p. 30 et les références).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(CIIAI, ch. 3105s). L'incidence des empêchements dans les diverses activités sur la capacité de gain du recourant se détermine selon la formule applicable pour la méthode extraordinaire d'évaluation de l'invalidité, conformément à la jurisprudence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c. Dans le cadre de la méthode mixte, le taux d’invalidité globale est calculé d’après le temps consacré aux deux champs d’activité (activité lucrative et travaux habituels) et se détermine à l’aide de la formule suivante (voir notamment arrêt du Tribunal fédéral 9C_790/2010 du 8 juillet 2011 consid. 7.1) : (% part lucrative x % invalidité) + (% part ménagère x % invalidité) 10.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w:t>
      </w:r>
    </w:p>
    <w:p>
      <w:r>
        <w:t>A/1434/2016 - 23/29 - changement déterminant a duré trois mois déjà, sans interruption notable et sans qu’une complication prochaine soit à craindre. 11. a. En l’espèce, l’assurée a repris son activité habituelle à 25% le 1er juillet 2013, à 50% le 7 octobre 2013 et à 60% le 1er mars 2014. Il s’agit dès lors de déterminer quel était son degré d’invalidité depuis le 1er juillet 2013. Quand bien même la recourante dispose encore d’une capacité de travail dans son activité habituelle, on ne peut appliquer la méthode de la comparaison en pourcents dès lors que cette manière de procéder ne tient pas compte des charges fixes et incompressibles tels que le loyer, le mobilier ou les assurances. Dans un cas tel que celui de la recourante, la comparaison des résultats d’exploitation réalisés avant et après la survenance de l’invalidité constitue la méthode la mieux adaptée (voir dans le même sens arrêt du Tribunal fédéral 9C_44/2011 du 1er septembre 2011 consid. 4.2 et 4.3). A noter toutefois que les documents comptables ne permettent pas de déterminer de manière précise le dommage économique en 2013. En revanche, cela est possible pour l’année 2014 de sorte que cette méthode ne sera utile que pour cette seule année. b/aa. Il ressort du rapport d’enquête pour activité professionnelle indépendante du 17 décembre 2015 que la recourante travaillait à 40% entre 1999 et 2009. De janvier 2010 à juillet 2011, elle travaillait à 90%. Un soin d’une heure est facturé CHF 90.-. Ces données ne sont pas contestées par la recourante de sorte qu’elles seront prises en considération pour déterminer le revenu pertinent. La situation économique de la recourante telle qu’elle ressort des pièces comptables combinées au rapport d’enquête précité peut être résumée de la manière suivante pour les années 2009 à 2011 :</w:t>
      </w:r>
    </w:p>
    <w:p>
      <w:r>
        <w:t>Chiffre d’affaires Nombre de soins Pourcentage par rapport au chiffre d’affaires 2010 Chiffre d’affaires si à 90% (selon règle de trois) 2009 33'595.00 373 40%1 85'388.002 2010 84'290.00 937</w:t>
      </w:r>
    </w:p>
    <w:p>
      <w:r>
        <w:t>84'290.00 2011 46'305.00 515 54%3 77'175.004 Chiffre d’affaires moyen sur les trois ans 82'284.355 1 CHF 33'595.00 / CHF 85'388.00 2 CHF 33'595.00 x 0.90 x 0.40 3 CHF46'305.00 / CHF 85'388.00 4 CHF46'305.00 x 0.90 x 0.54 5 (CHF 85‘388.00 + CHF 84‘290.00 + CHF 77'175.00) / 3</w:t>
      </w:r>
    </w:p>
    <w:p>
      <w:r>
        <w:t>A/1434/2016 - 24/29 - Par ailleurs, il ressort des comptes de pertes et profits pour 2009, 2010 et 2011 que les charges de la recourante se sont élevées à CHF 30'765.08 en 2009, CHF 32'939.62 en 2010 et 32'798.20 en 2011, soit en moyenne CHF 32'168.-. En conséquence, le revenu moyen calculé sur les années 2009 à 2011 s’élève à CHF 50'116.35 (CHF 82'284.35 - CHF 32'168.-). b/bb. En 2014, le chiffre d’affaires de la recourante s’est élevé à CHF 52'270.-. A ce montant, il convient d’ajouter CHF 6'518.- correspondant aux revenus qu’elle perçoit de la location de son cabinet, deux jours par semaine pour réduire son dommage. En 2009, 2010 et 2011, l’assurée avait sous-loué son cabinet pour un revenu moyen de 5'565.- (CHF 5'909.- en 2009, CHF 3'755.- en 2010 et CHF 7'030.- en 2011). En 2014, la recourante a sous-loué son cabinet pour un revenu de CHF 12'083.-. La différence entre ce montant et le loyer moyen encaissé entre 2009 et 2011 correspond ainsi à une mesure prise par la recourante pour réduire son dommage. Par conséquent, ce montant de CHF 6'518.- doit être pris en considération dans le calcul du degré d’invalidité étant donné qu’il permet à la recourante d’augmenter son chiffre d’affaires, de sorte que celui-ci s’élève à CHF 58'788.- en 2014. Selon le compte de pertes et profits, les charges s’élevaient à CHF 24'143.-. Par conséquent, le revenu de la recourante se montant à CHF 34'645.- en 2014. A noter qu’aucun abattement supplémentaire ne se justifie, aucun des critères n’étant réalisé : la recourante est encore jeune, ses limitations fonctionnelles ont à l’évidence été prises en considération dans l’estimation de sa capacité de travail. a/cc. Si l’on procède ainsi à la comparaison des revenus, le degré d’invalidité de la recourante s’élève à 31% ([CHF 50'116.35 - CHF 34'645.-] / CHF 50'116.35) soit 30,87%) ce qui n’est pas suffisant pour ouvrir le droit ne serait-ce qu’à un quart de rente. A noter que même avec un abattement de 10%, la recourante n’aurait pas droit à un quart de rente. b/aa. Le résultat serait identique si l’on fait abstraction des documents comptables et que l’on appliquait la méthode extraordinaire. En effet, il ressort de la comparaison des champs d’activité effectuée par l’enquêtrice, non contestée par la recourante, qu’avant l’atteinte à la santé, elle travaillait 36 heures par semaine, ce qui correspond à une activité à 90%. Elle consacrait 10% de son temps aux activités administratives et 90% à son activité de pédicure proprement dite. Depuis le 1er mars 2014, elle effectuait 23 heures par semaine, ce qui correspondait environ à une activité à 60%. Il ne ressort pas du dossier que la recourante consacrerait plus de temps aux tâches administratives. Elle ne l’allègue d’ailleurs pas. Ainsi, le partage du temps de travail entre les différentes activités est identique. Par ailleurs, dans la mesure où il s’agit d’une entreprise unipersonnelle et que l’intensité de l’activité administrative dépend de celle de l’activité de pédicure, on ne peut exiger de la recourante qu’elle consacre plus de temps à son activité administrative (factures, stocks, mise à jour des dossiers clients, etc.). Enfin, l’incapacité de travail</w:t>
      </w:r>
    </w:p>
    <w:p>
      <w:r>
        <w:t>A/1434/2016 - 25/29 - de la recourante ne se révèle que dans son activité de pédicure-podologue et non dans ses tâches administratives, ce qui n’est pas contesté. b/bb. S’agissant des revenus, il y a lieu de se baser dans la table T17 des ESS 2012 sur le revenu d'une femme âgée de 30 à 49 ans, exerçant d'autres activités de type administratif (ligne 4, CHF 5'901.- x 12 = CHF 70'812.-), respectivement une activité impliquant des services directs aux particuliers (ligne 5, CHF 4'532.- x 12 = CHF 54'384.-). Indexés selon l’indice suisse des salaires nominaux, les revenus précités s’élèvent à CHF 72'021.- et à CHF 55'312.-. En effet, s’agissant de l’activité administrative, la recourante effectue des tâches relevant tant de l’activité d’une employée de bureau que de celle d’une réceptionniste ou encore d’employée des services comptables et d’approvisionnement de sorte qu’il se justifie de prendre en considération le salaire moyen relatif à ces différentes professions (ligne 4 de la table T17 des ESS 2012). Selon les indications données sur la demande de prestations d’invalidité, la recourante a suivi une formation de pédicure à l’école de pédicure de septembre 1986 à septembre 1989. La demande de prestations ne contient toutefois aucune indication quant à une formation de podologue. Selon les dictionnaires médicaux de langue française, le « podologue » est l'auxiliaire médical spécialisé dans l'étude du pied pathologique par des méthodes non invasives (empreintes plantaires) et traitant les anomalies constatées par des méthodes orthopédiques (semelles). Quant au « pédicure », il se consacre quant à lui aux soins des affections superficielles des pieds et des orteils (durillons, ongles incarnés) ou bien aux soins du pied normal (voir arrêt du Tribunal fédéral 4P.111/2006 du 27 septembre 2006). Selon le site internet de l’école supérieure de podologues, reconnue par l’Etat de Genève (voir http://www.espod.ch/espod/La_profession.html), la podologie fait partie des professions de santé. Autrefois nommée pédicurie, elle a changé de nom parce qu’elle a élargi ses compétences et pour s’harmoniser avec l’appellation donnée en vigueur en Suisse alémanique et sur le plan européen. L’activité exercée par l’assurée implique par conséquent des services directs aux particuliers (pédicure) et des activités exercées par le personnel soignant (podologue). En outre, dans la mesure où elle tient son propre cabinet, la recourante exerce à l’évidence également des activités commerçantes. Ainsi, il y a lieu de retenir le revenu moyen relatif à ces différentes professions (ligne 5 de la table T17 des ESS 2012). A noter que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du Tribunal fédéral des assurances I 1/03 du 15 avril 2003 consid. 5.2). En conséquence, il est inutile d'adapter ces chiffres à l'horaire hebdomadaire de travail en 2014. En définitive, la comparaison des champs d'activités avec pondération donne ainsi les résultats suivants, pour la période courant dès le 1er mars 2014:</w:t>
      </w:r>
    </w:p>
    <w:p>
      <w:r>
        <w:t>A/1434/2016 - 26/29 -</w:t>
      </w:r>
    </w:p>
    <w:p>
      <w:r>
        <w:t>Champs d'activité Pondération sans handicap (T) Incapacité de travail (B) Revenu annuel (S) Direction - administration 10% 0% 72'021.- Prédicure podologue 90% 40% 55'312.- En se fondant sur ces revenus, le taux d’invalidité de la recourante s’élève à 35% (34,9% arrondi à 35%), calculé de la manière suivante : (10% x 0% x CHF 72'021.-) + (90% x 40% x CHF 55'312.-) = taux d'invalidité 10% x CHF 72'021.- + 90% x CHF 55'312.- soit: CHF 0.- + CHF 19'912.- = taux d'invalidité CHF 7'202.- + CHF 49'781.- soit CHF 19'912.- = taux d'invalidité CHF 56'983.- En réalité, en appliquant la méthode extraordinaire, on arrive à un résultat similaire que la méthode en pourcents (40% x 90% = 36%). 12. Le degré d’invalidité total doit être déterminé en prenant également en considération l’invalidité dans les travaux habituels. Dans la mesure où la recourante n’a pas contesté les conclusions de l’enquête sur le ménage, il y a lieu de retenir un empêchement de 1.25%, Ainsi, conformément à la formule consacrée par la jurisprudence s’agissant de la méthode mixte (voir supra), le taux d’invalidité de la recourante est le suivant dès le 1er mars 2014 : [35%] + [10% x 1.25%] = 35%+ 0.125% = 35.125 % soit 35%</w:t>
      </w:r>
    </w:p>
    <w:p>
      <w:r>
        <w:t>Dès cette date, le degré d’invalidité de la recourante est insuffisant pour lui donner droit à une rente. 13. Il convient désormais d’examiner si la cause doit être renvoyée à l’office intimé pour mise en œuvre de l’expertise pluridisciplinaire telle que préconisée par le SMR en novembre 2013 pour déterminer le degré d’invalidité de la recourante pour la période du 1er juillet 2013 (date de la suppression de la rente) et le 28 février 2014 (date à partir de laquelle la recourante présente un degré</w:t>
      </w:r>
    </w:p>
    <w:p>
      <w:r>
        <w:t>A/1434/2016 - 27/29 - d’invalidité inférieur à 40%). En effet, comme indiqué précédemment, la détermination du taux d’invalidité dans une activité adaptée n’a d’intérêt que dans l’hypothèse où la reprise d’une activité salariée peut être exigée de la recourante. En l’espèce, la question de la capacité de travail dans une activité adaptée est pertinente du point de vue de l’assurance-invalidité pour une période de huit mois seulement, pendant laquelle la recourante n’aurait quoi qu’il en soit pas pu prétendre à une rente entière (voir infra). Ainsi, dans de telles circonstances, il paraît disproportionné d’exiger de la recourante qu’elle mette fin à son activité indépendante qu’elle exerce depuis 26 ans au profit d’une activité salariée certes plus lucrative mais pertinente du point de vue de l’assurance-invalidité pendant quelques mois uniquement. Par conséquent, dans la mesure où on ne saurait exiger de la recourante un changement de profession, il n’y a pas de raison de déterminer la capacité de travail dans une activité adaptée de sorte qu’un renvoi de la cause n’est pas nécessaire. 14. Dans de telles circonstances, le degré d’invalidité doit être établi en prenant en considération la capacité de travail dans l’activité habituelle de pédicure-podologue. Les taux d’incapacité de travail dans l’activité habituelle n’ayant pas été contestés par l’intimé, ceux-ci seront pris en considération pour déterminer le degré d’invalidité. Par ailleurs, pour des questions de simplification, la chambre de céans appliquera la méthode de la comparaison en pourcents, cette méthode arrivant au même résultat que la méthode extraordinaire. En l’espèce, la recourante a repris son activité lucrative à 25% le 1er juillet 2013, à 50% le 7 octobre 2013 et à 60% le 1er mars 2014. Son degré d’invalidité se calcule ainsi de la manière suivante : Du 1er juillet au 6 octobre 2013 : activité habituelle exercée à 25% : [90% x 75%] + [10% x 1.25%] = 67.5% + 0.125% = 67.625% soit 68% Du 7 octobre 2013 au 28 février 2014 : activité habituelle exercée à 50% : [90% x 50%] + [10% x 1.25%] = 45% + 0.125% = 45.125% soit 45% Conformément à l’art. 88a al. 1 RAI, le droit de la recourante à une rente ne peut être révisé qu’à l’expiration d’un délai de trois mois, à savoir avec effet au 1er octobre 2013, date à laquelle elle aura droit à trois-quarts de rente, au 1er janvier 2014, date à laquelle sa rente devra être réduite à un quart de rente et au 1er juin 2014, date à laquelle sa rente devra être supprimée. 15. Au vu de ce qui précède, le recours du 4 mai 2016 sera partiellement admis et la décision querellée annulée. La recourante sera mise au bénéfice d’une rente entière du 1er septembre 2012 au 30 septembre 2013, de trois-quarts de rente du 1er octobre au 31 décembre 2013 et d’un quart de rente au 1er janvier au 31 mai 2014, la rente étant supprimée avec effet au 1er juin 2014.</w:t>
      </w:r>
    </w:p>
    <w:p>
      <w:r>
        <w:t>A/1434/2016 - 28/29 -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A/1434/2016 - 29/29 -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