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ATAS/932/2010 vom 15. September 2010</w:t>
      </w:r>
    </w:p>
    <w:p>
      <w:r>
        <w:t>GE Cour de justice, 2010-09-15, FR</w:t>
      </w:r>
    </w:p>
    <w:p>
      <w:r>
        <w:rPr>
          <w:b/>
        </w:rPr>
        <w:t xml:space="preserve">Quelle: </w:t>
      </w:r>
      <w:r>
        <w:t>https://mcp.opencaselaw.ch/entscheid/ge_gerichte_ATAS_932_2010</w:t>
      </w:r>
    </w:p>
    <w:p>
      <w:r>
        <w:t>FR: GE_GERICHTE ATAS/932/2010 du 15 septembre 2010</w:t>
      </w:r>
    </w:p>
    <w:p>
      <w:r>
        <w:t>IT: GE_GERICHTE ATAS/932/2010 del 15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5 juin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3</w:t>
      </w:r>
    </w:p>
    <w:p>
      <w:r>
        <w:t>Interjeté dans les forme et délai prévus par la loi, devant l'autorité compétente, le recours est en conséquence recevable (art. 56 ss LPGA).</w:t>
      </w:r>
    </w:p>
    <w:p>
      <w:r>
        <w:rPr>
          <w:b/>
        </w:rPr>
        <w:t>E. 4</w:t>
      </w:r>
    </w:p>
    <w:p>
      <w:r>
        <w:t>Le litige porte sur le droit à des prestations de l'assurance-invalidité en faveur de la recourante, et singulièrement sur la valeur probante de l'expertise du Dr O___________ du 18 septembre 2009.</w:t>
      </w:r>
    </w:p>
    <w:p>
      <w:r>
        <w:t>A/4171/2009 - 12/17 -</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au moins.</w:t>
      </w:r>
    </w:p>
    <w:p>
      <w:r>
        <w:rPr>
          <w:b/>
        </w:rPr>
        <w:t>E. 6</w:t>
      </w:r>
    </w:p>
    <w:p>
      <w:r>
        <w:t>Selon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 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 invalidité, thèse Fribourg 1999, p. 142).</w:t>
      </w:r>
    </w:p>
    <w:p>
      <w:r>
        <w:t>A/4171/2009 - 13/17 -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Enfin,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l’assurance-invalidité (COMAI) étaient garanties déjà avant l’entrée en vigueur de leur nouveau statut du 1er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 La Cour européenne des droits de l’homme a d’ailleurs rejeté le recours déposé par l’assuré contre le jugement précité (arrêt Bicer contre la Suisse du 22 juin 1999 in JAAC 2000 138 1341). Selon la jurisprudence de la Cour, le fait que les experts mandatés par le tribunal soient subordonnés à l’une des parties n’est en principe pas incompatible avec l’art. 6 par. 1er de la Convention européenne des droits de l’homme qui garantit le droit à un procès équitable (JAAC 1998 95 917).</w:t>
      </w:r>
    </w:p>
    <w:p>
      <w:r>
        <w:t>A/4171/2009 - 14/17 -</w:t>
      </w:r>
    </w:p>
    <w:p>
      <w:r>
        <w:rPr>
          <w:b/>
        </w:rPr>
        <w:t>E. 8</w:t>
      </w:r>
    </w:p>
    <w:p>
      <w:r>
        <w:t>En l'espèce, et pour les motifs qui suivent, il y a lieu de conférer à l'expertise effectuée par le Dr O___________ pleine valeur probante. En premier lieu, l'expert a procédé à un examen complet des pièces pertinentes du dossier, en particulier médicales, de sorte qu'il a rendu son rapport en pleine connaissance des points litigieux (cf. pages 3 à 5 du rapport du 18 septembre 2009). En deuxième lieu, l'expert, pour tirer ses conclusions, s'est fondé sur des examens complets de la recourante, soit deux entretiens à intervalle d'un mois (le 7 mai et le</w:t>
      </w:r>
    </w:p>
    <w:p>
      <w:r>
        <w:rPr>
          <w:b/>
        </w:rPr>
        <w:t>E. 10</w:t>
      </w:r>
    </w:p>
    <w:p>
      <w:r>
        <w:t>juin 2009). En troisième lieu, l'expert a pris en considération les plaintes exprimées par la recourante (cf. pages 5 et 6 du rapport du 18 septembre 2009) et le rapport a été établi en pleine connaissance de l'anamnèse. A ce sujet, la recourante fait grief à l'expert de ne pas avoir reconnu qu'elle souffrait de troubles du sommeil (cf. page</w:t>
      </w:r>
    </w:p>
    <w:p>
      <w:r>
        <w:rPr>
          <w:b/>
        </w:rPr>
        <w:t>E. 11</w:t>
      </w:r>
    </w:p>
    <w:p>
      <w:r>
        <w:t>En tant que de besoin, et dans l'hypothèse où la recourante entend faire valoir une aggravation de son état de santé postérieurement à la décision querellée, il lui appartient de saisir l'intimé d'une demande de révision.</w:t>
      </w:r>
    </w:p>
    <w:p>
      <w:r>
        <w:rPr>
          <w:b/>
        </w:rPr>
        <w:t>E. 12</w:t>
      </w:r>
    </w:p>
    <w:p>
      <w:r>
        <w:t>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A/4171/2009 - 17/17 -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