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ATAS/931/2024 vom 27. November 2024</w:t>
      </w:r>
    </w:p>
    <w:p>
      <w:r>
        <w:t>GE Cour de justice, 2024-11-27, FR</w:t>
      </w:r>
    </w:p>
    <w:p>
      <w:r>
        <w:rPr>
          <w:b/>
        </w:rPr>
        <w:t xml:space="preserve">Quelle: </w:t>
      </w:r>
      <w:r>
        <w:t>https://mcp.opencaselaw.ch/entscheid/ge_gerichte_ATAS_931_2024</w:t>
      </w:r>
    </w:p>
    <w:p>
      <w:r>
        <w:t>FR: GE_GERICHTE ATAS/931/2024 du 27 novembre 2024</w:t>
      </w:r>
    </w:p>
    <w:p>
      <w:r>
        <w:t>IT: GE_GERICHTE ATAS/931/2024 del 27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à de la recourante à une rente entière d’invalidité dès le 1er juin 2021.</w:t>
      </w:r>
    </w:p>
    <w:p>
      <w:r>
        <w:rPr>
          <w:b/>
        </w:rPr>
        <w:t>E. 3.1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l’occurrence, la décision litigieuse a été rendue après le 31 décembre 2021 et le droit de la recourante a une rente est né avant cette date, de sorte que les dispositions légales applicables sont celles en vigueur jusqu’au 31 décembre 2021.</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w:t>
      </w:r>
    </w:p>
    <w:p>
      <w:r>
        <w:t>A/4130/2023 - 5/13 -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w:t>
      </w:r>
    </w:p>
    <w:p>
      <w:r>
        <w:t>A/4130/2023 - 6/13 -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w:t>
      </w:r>
    </w:p>
    <w:p>
      <w:r>
        <w:t>A/4130/2023 - 7/13 -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w:t>
      </w:r>
    </w:p>
    <w:p>
      <w:r>
        <w:t>A/4130/2023 - 8/13 -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3.5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A/4130/2023 - 9/13 -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A/4130/2023 - 10/13 -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La recourante fait valoir en substance que depuis 2008, elle souffre de troubles psychiques et physiques chroniques, qui ne lui permettent pas de reprendre une activité professionnelle, même à temps partiel, contrairement à ce qu’a retenu l’intimé sur la base de l’expertise du SMR, en se référant aux rapports du Dr E______. Il convient d’examiner en premier lieu le rapport d’expertise du SMR. Fondé sur toutes les pièces du dossier, comprenant une anamnèse détaillée, la description des plaintes de la recourante, des diagnostics clairs et une évaluation motivée et convaincante de sa capacité de travail, à la suite d’une évaluation consensuelle des experts, le rapport d’expertise du SMR répond aux réquisits jurisprudentiels permettant de lui reconnaître une pleine valeur probante. Les experts, et l’expert psychiatre en particulier, ont matériellement pris en compte les indicateurs de gravité développés par le Tribunal fédéral pour fixer la capacité de travail de la recourante.</w:t>
      </w:r>
    </w:p>
    <w:p>
      <w:r>
        <w:t>A/4130/2023 - 11/13 - L’expert psychiatre a retenu comme diagnostics principaux responsables des limitations fonctionnelles de la recourante, un épisode dépressif moyen et un trouble mixte de la personnalité partiellement décompensé. Il a constaté qu’hormis à certains moments de la journée, comme le soir, il n’était pas décrit de sentiment de détresse, ni observé ce sentiment à l’examen. Il était relevé des difficultés mnésiques sur les faits anciens et une fatigue le matin, en amélioration l’après-midi, ainsi qu’une tendance à la rigidité. Il en ressort que l’atteinte de l’assurée apparaît d’une gravité relative. S’agissant du critère du succès du traitement et de la réadaptation ou la résistance à ces derniers, il ressort du rapport d’expertise que la recourante ne supporte pas les antidépresseurs, de sorte que l’on ne peut pas tirer de conclusions du fait qu’elle n’en prend pas. Il convient de relever qu’elle peut fonctionner sans ce traitement, certes de façon limitée, ce qui relativise la gravité de son atteinte. Son suivi de psychothérapie correspond aux règles d’un traitement lege artis et elle collabore bien à son traitement avec son psychiatre qu’elle voit régulièrement depuis 2015, une fois par semaine, selon le rapport d’expertise. S’agissant des ressources de la recourante, l’expert psychiatre a indiqué que les éléments recueillis permettaient de constater qu’elles étaient partiellement diminuées. Elle n’avait jamais eu un réseau social très important, mais il avait diminué depuis 2011. Ses centres d’intérêts avaient toujours été réduits. Elle en avait encore quelques-uns, puisqu’elle s’intéressait au développement personnel et appréciait la lecture et la musique. Elle se promenait deux à trois par semaine et restait autonome dans les activités quotidiennes, gérant son ménage, les courses, ses repas et ses affaires administratives. L’expert psychiatre a pris en compte le complexe de personnalité de la recourante, dans le cadre de l’analyse de ses ressources, relevant qu’elle avait peur de l’abandon et du rejet et que cela l’avait amenée à rompre avec son fils et à faire preuve d’entêtement à ce sujet. Sa rigidité de type anankastique compliquait son rapport à autrui. Elle avait toutefois retrouvé une combativité en 2018 et une capacité à refuser l’échec, qui lui avait permis de sortir partiellement de son isolement social. Il résulte des considérations qui précèdent que l’expert psychiatre a procédé à une analyse globale et correcte de la situation de la recourante et que sa conclusion selon laquelle une activité professionnelle était exigible d’elle à 50% est convaincante. La recourante fait valoir sa propre appréciation subjective de sa situation, laquelle n’est pas susceptible de remettre en cause les conclusions des experts. Les rapports du Dr E______ ne suffisent pas à remettre sérieusement en cause les conclusions des experts, celui-ci n’ayant en particulier pas procédé à l’examen des indicateurs de gravité développés par le Tribunal fédéral. Par ailleurs, il retient dans son rapport du 28 octobre 2021 que la recourante était totalement inapte à</w:t>
      </w:r>
    </w:p>
    <w:p>
      <w:r>
        <w:t>A/4130/2023 - 12/13 - travailler à plein temps depuis que la maladie de son père s’était déclarée, sans mentionner l’évolution favorable de la santé de la recourante dès 2018. Or, il ressort de l’expertise que la recourante avait elle-même déclaré qu’à compter de 2018, elle avait commencé à se reprendre en main et qu’elle avait eu comme un déclic. Il n’en parle pas non plus dans son rapport du 17 avril 2023. Par ailleurs, le diagnostic de PTSD retenu par le Dr E______ n’est pas convainquant. Il a été exclu par l’expert psychiatre, au motif qu’un deuil même entraînant une grande souffrance et se prolongeant au-delà de six mois ne pouvait être considéré comme un traumatisme au sens de la CIM-10 et qu’il n’existait aucun symptôme de PTSD, tels des cauchemars, des flashbacks, une insécurité, une hypervigilance ou une conduite d’évitement.</w:t>
      </w:r>
    </w:p>
    <w:p>
      <w:r>
        <w:rPr>
          <w:b/>
        </w:rPr>
        <w:t>E. 5</w:t>
      </w:r>
    </w:p>
    <w:p>
      <w:r>
        <w:t>En conclusion, la décision querellée est fondée sur une expertise dont les conclusions sont probantes et elle doit être confirmée. Le recours sera en conséquence rejeté. Vu l’issue du litige, un émolument de CHF 200.- sera mis à la charge de la recourante (art. 69 al. 1 bis LAI).</w:t>
      </w:r>
    </w:p>
    <w:p>
      <w:r>
        <w:t>A/4130/2023 - 13/13 -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